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EE87" w14:textId="77777777" w:rsidR="000E14B0" w:rsidRDefault="00E52302">
      <w:pPr>
        <w:spacing w:after="100"/>
      </w:pPr>
      <w:r>
        <w:rPr>
          <w:rFonts w:ascii="Calibri" w:eastAsia="Calibri" w:hAnsi="Calibri" w:cs="Calibri"/>
          <w:b/>
          <w:bCs/>
          <w:color w:val="162C53"/>
          <w:sz w:val="30"/>
          <w:szCs w:val="30"/>
        </w:rPr>
        <w:t>Building hazard register</w:t>
      </w:r>
    </w:p>
    <w:p w14:paraId="6192EE88" w14:textId="77777777" w:rsidR="000E14B0" w:rsidRDefault="00E52302">
      <w:pPr>
        <w:spacing w:after="140"/>
      </w:pPr>
      <w:r>
        <w:rPr>
          <w:rFonts w:ascii="Calibri" w:eastAsia="Calibri" w:hAnsi="Calibri" w:cs="Calibri"/>
          <w:b/>
          <w:bCs/>
          <w:color w:val="162C53"/>
        </w:rPr>
        <w:t xml:space="preserve">OBSERVE. RATE. REFER. RECORD THE REFERRAL.   </w:t>
      </w:r>
      <w:r>
        <w:rPr>
          <w:rFonts w:ascii="Calibri" w:eastAsia="Calibri" w:hAnsi="Calibri" w:cs="Calibri"/>
          <w:color w:val="2C3849"/>
          <w:sz w:val="18"/>
          <w:szCs w:val="18"/>
        </w:rPr>
        <w:t>You do not need to know how to fix it. You need to have seen it, ranked it, sent it to someone who does, and written all of that down with a date.</w:t>
      </w: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
        <w:gridCol w:w="1900"/>
        <w:gridCol w:w="1100"/>
        <w:gridCol w:w="2650"/>
        <w:gridCol w:w="1700"/>
        <w:gridCol w:w="380"/>
        <w:gridCol w:w="380"/>
        <w:gridCol w:w="1150"/>
        <w:gridCol w:w="2400"/>
        <w:gridCol w:w="1050"/>
        <w:gridCol w:w="1000"/>
        <w:gridCol w:w="1308"/>
      </w:tblGrid>
      <w:tr w:rsidR="000E14B0" w14:paraId="6192EE95" w14:textId="77777777">
        <w:tblPrEx>
          <w:tblCellMar>
            <w:top w:w="0" w:type="dxa"/>
            <w:bottom w:w="0" w:type="dxa"/>
          </w:tblCellMar>
        </w:tblPrEx>
        <w:trPr>
          <w:tblHeader/>
        </w:trPr>
        <w:tc>
          <w:tcPr>
            <w:tcW w:w="38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89" w14:textId="77777777" w:rsidR="000E14B0" w:rsidRDefault="00E52302">
            <w:r>
              <w:rPr>
                <w:rFonts w:ascii="Calibri" w:eastAsia="Calibri" w:hAnsi="Calibri" w:cs="Calibri"/>
                <w:b/>
                <w:bCs/>
                <w:caps/>
                <w:color w:val="FFFFFF"/>
                <w:sz w:val="15"/>
                <w:szCs w:val="15"/>
              </w:rPr>
              <w:t>#</w:t>
            </w:r>
          </w:p>
        </w:tc>
        <w:tc>
          <w:tcPr>
            <w:tcW w:w="19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8A" w14:textId="77777777" w:rsidR="000E14B0" w:rsidRDefault="00E52302">
            <w:r>
              <w:rPr>
                <w:rFonts w:ascii="Calibri" w:eastAsia="Calibri" w:hAnsi="Calibri" w:cs="Calibri"/>
                <w:b/>
                <w:bCs/>
                <w:caps/>
                <w:color w:val="FFFFFF"/>
                <w:sz w:val="15"/>
                <w:szCs w:val="15"/>
              </w:rPr>
              <w:t>Hazard / what you saw</w:t>
            </w:r>
          </w:p>
        </w:tc>
        <w:tc>
          <w:tcPr>
            <w:tcW w:w="11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8B" w14:textId="77777777" w:rsidR="000E14B0" w:rsidRDefault="00E52302">
            <w:r>
              <w:rPr>
                <w:rFonts w:ascii="Calibri" w:eastAsia="Calibri" w:hAnsi="Calibri" w:cs="Calibri"/>
                <w:b/>
                <w:bCs/>
                <w:caps/>
                <w:color w:val="FFFFFF"/>
                <w:sz w:val="15"/>
                <w:szCs w:val="15"/>
              </w:rPr>
              <w:t>Location</w:t>
            </w:r>
          </w:p>
        </w:tc>
        <w:tc>
          <w:tcPr>
            <w:tcW w:w="265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8C" w14:textId="77777777" w:rsidR="000E14B0" w:rsidRDefault="00E52302">
            <w:r>
              <w:rPr>
                <w:rFonts w:ascii="Calibri" w:eastAsia="Calibri" w:hAnsi="Calibri" w:cs="Calibri"/>
                <w:b/>
                <w:bCs/>
                <w:caps/>
                <w:color w:val="FFFFFF"/>
                <w:sz w:val="15"/>
                <w:szCs w:val="15"/>
              </w:rPr>
              <w:t>What could happen</w:t>
            </w:r>
          </w:p>
        </w:tc>
        <w:tc>
          <w:tcPr>
            <w:tcW w:w="17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8D" w14:textId="77777777" w:rsidR="000E14B0" w:rsidRDefault="00E52302">
            <w:r>
              <w:rPr>
                <w:rFonts w:ascii="Calibri" w:eastAsia="Calibri" w:hAnsi="Calibri" w:cs="Calibri"/>
                <w:b/>
                <w:bCs/>
                <w:caps/>
                <w:color w:val="FFFFFF"/>
                <w:sz w:val="15"/>
                <w:szCs w:val="15"/>
              </w:rPr>
              <w:t>To whom</w:t>
            </w:r>
          </w:p>
        </w:tc>
        <w:tc>
          <w:tcPr>
            <w:tcW w:w="38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8E" w14:textId="77777777" w:rsidR="000E14B0" w:rsidRDefault="00E52302">
            <w:r>
              <w:rPr>
                <w:rFonts w:ascii="Calibri" w:eastAsia="Calibri" w:hAnsi="Calibri" w:cs="Calibri"/>
                <w:b/>
                <w:bCs/>
                <w:caps/>
                <w:color w:val="FFFFFF"/>
                <w:sz w:val="15"/>
                <w:szCs w:val="15"/>
              </w:rPr>
              <w:t>L</w:t>
            </w:r>
          </w:p>
        </w:tc>
        <w:tc>
          <w:tcPr>
            <w:tcW w:w="38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8F" w14:textId="77777777" w:rsidR="000E14B0" w:rsidRDefault="00E52302">
            <w:r>
              <w:rPr>
                <w:rFonts w:ascii="Calibri" w:eastAsia="Calibri" w:hAnsi="Calibri" w:cs="Calibri"/>
                <w:b/>
                <w:bCs/>
                <w:caps/>
                <w:color w:val="FFFFFF"/>
                <w:sz w:val="15"/>
                <w:szCs w:val="15"/>
              </w:rPr>
              <w:t>C</w:t>
            </w:r>
          </w:p>
        </w:tc>
        <w:tc>
          <w:tcPr>
            <w:tcW w:w="115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90" w14:textId="77777777" w:rsidR="000E14B0" w:rsidRDefault="00E52302">
            <w:r>
              <w:rPr>
                <w:rFonts w:ascii="Calibri" w:eastAsia="Calibri" w:hAnsi="Calibri" w:cs="Calibri"/>
                <w:b/>
                <w:bCs/>
                <w:caps/>
                <w:color w:val="FFFFFF"/>
                <w:sz w:val="15"/>
                <w:szCs w:val="15"/>
              </w:rPr>
              <w:t>Rating</w:t>
            </w:r>
          </w:p>
        </w:tc>
        <w:tc>
          <w:tcPr>
            <w:tcW w:w="24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91" w14:textId="77777777" w:rsidR="000E14B0" w:rsidRDefault="00E52302">
            <w:r>
              <w:rPr>
                <w:rFonts w:ascii="Calibri" w:eastAsia="Calibri" w:hAnsi="Calibri" w:cs="Calibri"/>
                <w:b/>
                <w:bCs/>
                <w:caps/>
                <w:color w:val="FFFFFF"/>
                <w:sz w:val="15"/>
                <w:szCs w:val="15"/>
              </w:rPr>
              <w:t>Control / who to refer to</w:t>
            </w:r>
          </w:p>
        </w:tc>
        <w:tc>
          <w:tcPr>
            <w:tcW w:w="105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92" w14:textId="77777777" w:rsidR="000E14B0" w:rsidRDefault="00E52302">
            <w:r>
              <w:rPr>
                <w:rFonts w:ascii="Calibri" w:eastAsia="Calibri" w:hAnsi="Calibri" w:cs="Calibri"/>
                <w:b/>
                <w:bCs/>
                <w:caps/>
                <w:color w:val="FFFFFF"/>
                <w:sz w:val="15"/>
                <w:szCs w:val="15"/>
              </w:rPr>
              <w:t>Owner</w:t>
            </w:r>
          </w:p>
        </w:tc>
        <w:tc>
          <w:tcPr>
            <w:tcW w:w="10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93" w14:textId="77777777" w:rsidR="000E14B0" w:rsidRDefault="00E52302">
            <w:r>
              <w:rPr>
                <w:rFonts w:ascii="Calibri" w:eastAsia="Calibri" w:hAnsi="Calibri" w:cs="Calibri"/>
                <w:b/>
                <w:bCs/>
                <w:caps/>
                <w:color w:val="FFFFFF"/>
                <w:sz w:val="15"/>
                <w:szCs w:val="15"/>
              </w:rPr>
              <w:t>Due</w:t>
            </w:r>
          </w:p>
        </w:tc>
        <w:tc>
          <w:tcPr>
            <w:tcW w:w="1308"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E94" w14:textId="77777777" w:rsidR="000E14B0" w:rsidRDefault="00E52302">
            <w:r>
              <w:rPr>
                <w:rFonts w:ascii="Calibri" w:eastAsia="Calibri" w:hAnsi="Calibri" w:cs="Calibri"/>
                <w:b/>
                <w:bCs/>
                <w:caps/>
                <w:color w:val="FFFFFF"/>
                <w:sz w:val="15"/>
                <w:szCs w:val="15"/>
              </w:rPr>
              <w:t>Closed</w:t>
            </w:r>
          </w:p>
        </w:tc>
      </w:tr>
      <w:tr w:rsidR="000E14B0" w14:paraId="6192EEA2" w14:textId="77777777">
        <w:tblPrEx>
          <w:tblCellMar>
            <w:top w:w="0" w:type="dxa"/>
            <w:bottom w:w="0" w:type="dxa"/>
          </w:tblCellMar>
        </w:tblPrEx>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6" w14:textId="77777777" w:rsidR="000E14B0" w:rsidRDefault="00E52302">
            <w:pPr>
              <w:jc w:val="center"/>
            </w:pPr>
            <w:r>
              <w:rPr>
                <w:rFonts w:ascii="Calibri" w:eastAsia="Calibri" w:hAnsi="Calibri" w:cs="Calibri"/>
                <w:i/>
                <w:iCs/>
                <w:color w:val="666666"/>
                <w:sz w:val="15"/>
                <w:szCs w:val="15"/>
              </w:rPr>
              <w:t>1</w:t>
            </w:r>
          </w:p>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7" w14:textId="77777777" w:rsidR="000E14B0" w:rsidRDefault="00E52302">
            <w:r>
              <w:rPr>
                <w:rFonts w:ascii="Calibri" w:eastAsia="Calibri" w:hAnsi="Calibri" w:cs="Calibri"/>
                <w:i/>
                <w:iCs/>
                <w:color w:val="666666"/>
                <w:sz w:val="15"/>
                <w:szCs w:val="15"/>
              </w:rPr>
              <w:t>Broken and lifted floor tiles</w:t>
            </w:r>
          </w:p>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8" w14:textId="77777777" w:rsidR="000E14B0" w:rsidRDefault="00E52302">
            <w:r>
              <w:rPr>
                <w:rFonts w:ascii="Calibri" w:eastAsia="Calibri" w:hAnsi="Calibri" w:cs="Calibri"/>
                <w:i/>
                <w:iCs/>
                <w:color w:val="666666"/>
                <w:sz w:val="15"/>
                <w:szCs w:val="15"/>
              </w:rPr>
              <w:t>Main entrance</w:t>
            </w:r>
          </w:p>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9" w14:textId="77777777" w:rsidR="000E14B0" w:rsidRDefault="00E52302">
            <w:r>
              <w:rPr>
                <w:rFonts w:ascii="Calibri" w:eastAsia="Calibri" w:hAnsi="Calibri" w:cs="Calibri"/>
                <w:i/>
                <w:iCs/>
                <w:color w:val="666666"/>
                <w:sz w:val="15"/>
                <w:szCs w:val="15"/>
              </w:rPr>
              <w:t>A fall onto a hard surface at the front door</w:t>
            </w:r>
          </w:p>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A" w14:textId="77777777" w:rsidR="000E14B0" w:rsidRDefault="00E52302">
            <w:r>
              <w:rPr>
                <w:rFonts w:ascii="Calibri" w:eastAsia="Calibri" w:hAnsi="Calibri" w:cs="Calibri"/>
                <w:i/>
                <w:iCs/>
                <w:color w:val="666666"/>
                <w:sz w:val="15"/>
                <w:szCs w:val="15"/>
              </w:rPr>
              <w:t>Residents, visitors</w:t>
            </w:r>
          </w:p>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B" w14:textId="77777777" w:rsidR="000E14B0" w:rsidRDefault="00E52302">
            <w:pPr>
              <w:jc w:val="center"/>
            </w:pPr>
            <w:r>
              <w:rPr>
                <w:rFonts w:ascii="Calibri" w:eastAsia="Calibri" w:hAnsi="Calibri" w:cs="Calibri"/>
                <w:i/>
                <w:iCs/>
                <w:color w:val="666666"/>
                <w:sz w:val="15"/>
                <w:szCs w:val="15"/>
              </w:rPr>
              <w:t>5</w:t>
            </w:r>
          </w:p>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C" w14:textId="77777777" w:rsidR="000E14B0" w:rsidRDefault="00E52302">
            <w:pPr>
              <w:jc w:val="center"/>
            </w:pPr>
            <w:r>
              <w:rPr>
                <w:rFonts w:ascii="Calibri" w:eastAsia="Calibri" w:hAnsi="Calibri" w:cs="Calibri"/>
                <w:i/>
                <w:iCs/>
                <w:color w:val="666666"/>
                <w:sz w:val="15"/>
                <w:szCs w:val="15"/>
              </w:rPr>
              <w:t>4</w:t>
            </w:r>
          </w:p>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D" w14:textId="77777777" w:rsidR="000E14B0" w:rsidRDefault="00E52302">
            <w:pPr>
              <w:jc w:val="center"/>
            </w:pPr>
            <w:r>
              <w:rPr>
                <w:rFonts w:ascii="Calibri" w:eastAsia="Calibri" w:hAnsi="Calibri" w:cs="Calibri"/>
                <w:b/>
                <w:bCs/>
                <w:i/>
                <w:iCs/>
                <w:color w:val="C00000"/>
                <w:sz w:val="14"/>
                <w:szCs w:val="14"/>
              </w:rPr>
              <w:t>EXTREME 20</w:t>
            </w:r>
          </w:p>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E" w14:textId="77777777" w:rsidR="000E14B0" w:rsidRDefault="00E52302">
            <w:r>
              <w:rPr>
                <w:rFonts w:ascii="Calibri" w:eastAsia="Calibri" w:hAnsi="Calibri" w:cs="Calibri"/>
                <w:i/>
                <w:iCs/>
                <w:color w:val="666666"/>
                <w:sz w:val="15"/>
                <w:szCs w:val="15"/>
              </w:rPr>
              <w:t>Cone today. Tiler to replace</w:t>
            </w:r>
          </w:p>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9F" w14:textId="77777777" w:rsidR="000E14B0" w:rsidRDefault="00E52302">
            <w:r>
              <w:rPr>
                <w:rFonts w:ascii="Calibri" w:eastAsia="Calibri" w:hAnsi="Calibri" w:cs="Calibri"/>
                <w:i/>
                <w:iCs/>
                <w:color w:val="666666"/>
                <w:sz w:val="15"/>
                <w:szCs w:val="15"/>
              </w:rPr>
              <w:t>N. Patel</w:t>
            </w:r>
          </w:p>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0" w14:textId="77777777" w:rsidR="000E14B0" w:rsidRDefault="00E52302">
            <w:pPr>
              <w:jc w:val="center"/>
            </w:pPr>
            <w:r>
              <w:rPr>
                <w:rFonts w:ascii="Calibri" w:eastAsia="Calibri" w:hAnsi="Calibri" w:cs="Calibri"/>
                <w:i/>
                <w:iCs/>
                <w:color w:val="666666"/>
                <w:sz w:val="14"/>
                <w:szCs w:val="14"/>
              </w:rPr>
              <w:t>14/08/26</w:t>
            </w:r>
          </w:p>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1" w14:textId="77777777" w:rsidR="000E14B0" w:rsidRDefault="000E14B0"/>
        </w:tc>
      </w:tr>
      <w:tr w:rsidR="000E14B0" w14:paraId="6192EEAF"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3"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4"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5"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6"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7"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8"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9"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A"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B"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C"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D"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AE" w14:textId="77777777" w:rsidR="000E14B0" w:rsidRDefault="000E14B0"/>
        </w:tc>
      </w:tr>
      <w:tr w:rsidR="000E14B0" w14:paraId="6192EEBC"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0"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1"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2"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3"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4"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5"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6"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7"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8"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9"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A"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B" w14:textId="77777777" w:rsidR="000E14B0" w:rsidRDefault="000E14B0"/>
        </w:tc>
      </w:tr>
      <w:tr w:rsidR="000E14B0" w14:paraId="6192EEC9"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D"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E"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BF"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0"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1"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2"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3"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4"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5"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6"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7"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8" w14:textId="77777777" w:rsidR="000E14B0" w:rsidRDefault="000E14B0"/>
        </w:tc>
      </w:tr>
      <w:tr w:rsidR="000E14B0" w14:paraId="6192EED6"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A"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B"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C"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D"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E"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CF"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0"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1"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2"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3"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4"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5" w14:textId="77777777" w:rsidR="000E14B0" w:rsidRDefault="000E14B0"/>
        </w:tc>
      </w:tr>
      <w:tr w:rsidR="000E14B0" w14:paraId="6192EEE3"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7"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8"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9"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A"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B"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C"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D"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E"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DF"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0"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1"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2" w14:textId="77777777" w:rsidR="000E14B0" w:rsidRDefault="000E14B0"/>
        </w:tc>
      </w:tr>
      <w:tr w:rsidR="000E14B0" w14:paraId="6192EEF0"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4"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5"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6"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7"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8"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9"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A"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B"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C"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D"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E"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EF" w14:textId="77777777" w:rsidR="000E14B0" w:rsidRDefault="000E14B0"/>
        </w:tc>
      </w:tr>
      <w:tr w:rsidR="000E14B0" w14:paraId="6192EEFD"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1"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2"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3"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4"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5"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6"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7"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8"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9"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A"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B"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C" w14:textId="77777777" w:rsidR="000E14B0" w:rsidRDefault="000E14B0"/>
        </w:tc>
      </w:tr>
      <w:tr w:rsidR="000E14B0" w14:paraId="6192EF0A"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E"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EFF"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0"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1"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2"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3"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4"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5"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6"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7"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8"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9" w14:textId="77777777" w:rsidR="000E14B0" w:rsidRDefault="000E14B0"/>
        </w:tc>
      </w:tr>
      <w:tr w:rsidR="000E14B0" w14:paraId="6192EF17"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B"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C"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D"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E"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0F"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10"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11"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12"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13"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14"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15"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16" w14:textId="77777777" w:rsidR="000E14B0" w:rsidRDefault="000E14B0"/>
        </w:tc>
      </w:tr>
      <w:tr w:rsidR="000E14B0" w14:paraId="6192EF4B"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3F"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0"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1"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2"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3"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4"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5"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6"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7"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8"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9"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A" w14:textId="77777777" w:rsidR="000E14B0" w:rsidRDefault="000E14B0"/>
        </w:tc>
      </w:tr>
      <w:tr w:rsidR="000E14B0" w14:paraId="6192EF58"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C"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D"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E"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4F"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0"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1"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2"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3"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4"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5"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6"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7" w14:textId="77777777" w:rsidR="000E14B0" w:rsidRDefault="000E14B0"/>
        </w:tc>
      </w:tr>
      <w:tr w:rsidR="000E14B0" w14:paraId="6192EF65"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9"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A"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B"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C"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D"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E"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5F"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0"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1"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2"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3"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4" w14:textId="77777777" w:rsidR="000E14B0" w:rsidRDefault="000E14B0"/>
        </w:tc>
      </w:tr>
      <w:tr w:rsidR="000E14B0" w14:paraId="6192EF72"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6"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7"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8"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9"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A"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B"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C"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D"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E"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6F"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0"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1" w14:textId="77777777" w:rsidR="000E14B0" w:rsidRDefault="000E14B0"/>
        </w:tc>
      </w:tr>
      <w:tr w:rsidR="000E14B0" w14:paraId="6192EF7F" w14:textId="77777777">
        <w:tblPrEx>
          <w:tblCellMar>
            <w:top w:w="0" w:type="dxa"/>
            <w:bottom w:w="0" w:type="dxa"/>
          </w:tblCellMar>
        </w:tblPrEx>
        <w:trPr>
          <w:trHeight w:val="420"/>
        </w:trPr>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3" w14:textId="77777777" w:rsidR="000E14B0" w:rsidRDefault="000E14B0"/>
        </w:tc>
        <w:tc>
          <w:tcPr>
            <w:tcW w:w="19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4" w14:textId="77777777" w:rsidR="000E14B0" w:rsidRDefault="000E14B0"/>
        </w:tc>
        <w:tc>
          <w:tcPr>
            <w:tcW w:w="1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5" w14:textId="77777777" w:rsidR="000E14B0" w:rsidRDefault="000E14B0"/>
        </w:tc>
        <w:tc>
          <w:tcPr>
            <w:tcW w:w="26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6" w14:textId="77777777" w:rsidR="000E14B0" w:rsidRDefault="000E14B0"/>
        </w:tc>
        <w:tc>
          <w:tcPr>
            <w:tcW w:w="17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7"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8" w14:textId="77777777" w:rsidR="000E14B0" w:rsidRDefault="000E14B0"/>
        </w:tc>
        <w:tc>
          <w:tcPr>
            <w:tcW w:w="38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9" w14:textId="77777777" w:rsidR="000E14B0" w:rsidRDefault="000E14B0"/>
        </w:tc>
        <w:tc>
          <w:tcPr>
            <w:tcW w:w="11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A" w14:textId="77777777" w:rsidR="000E14B0" w:rsidRDefault="000E14B0"/>
        </w:tc>
        <w:tc>
          <w:tcPr>
            <w:tcW w:w="24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B" w14:textId="77777777" w:rsidR="000E14B0" w:rsidRDefault="000E14B0"/>
        </w:tc>
        <w:tc>
          <w:tcPr>
            <w:tcW w:w="105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C" w14:textId="77777777" w:rsidR="000E14B0" w:rsidRDefault="000E14B0"/>
        </w:tc>
        <w:tc>
          <w:tcPr>
            <w:tcW w:w="10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D" w14:textId="77777777" w:rsidR="000E14B0" w:rsidRDefault="000E14B0"/>
        </w:tc>
        <w:tc>
          <w:tcPr>
            <w:tcW w:w="1308"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7E" w14:textId="77777777" w:rsidR="000E14B0" w:rsidRDefault="000E14B0"/>
        </w:tc>
      </w:tr>
    </w:tbl>
    <w:p w14:paraId="6192EF80" w14:textId="77777777" w:rsidR="000E14B0" w:rsidRDefault="00E52302">
      <w:pPr>
        <w:spacing w:before="140" w:after="80"/>
      </w:pPr>
      <w:r>
        <w:rPr>
          <w:rFonts w:ascii="Calibri" w:eastAsia="Calibri" w:hAnsi="Calibri" w:cs="Calibri"/>
          <w:b/>
          <w:bCs/>
          <w:color w:val="2C3849"/>
          <w:sz w:val="17"/>
          <w:szCs w:val="17"/>
        </w:rPr>
        <w:t xml:space="preserve">What you saw is not the finding. </w:t>
      </w:r>
      <w:r>
        <w:rPr>
          <w:rFonts w:ascii="Calibri" w:eastAsia="Calibri" w:hAnsi="Calibri" w:cs="Calibri"/>
          <w:color w:val="666666"/>
          <w:sz w:val="17"/>
          <w:szCs w:val="17"/>
        </w:rPr>
        <w:t>Graffiti is not a hazard. What it means is: the building looks unwatched, someone got onto a roof to do it, and residents stop using the rear entrance after dark. Fill in "what could happen" before you rate anything.</w:t>
      </w:r>
    </w:p>
    <w:p w14:paraId="6192EF81" w14:textId="77777777" w:rsidR="000E14B0" w:rsidRDefault="00E52302">
      <w:pPr>
        <w:spacing w:after="80"/>
      </w:pPr>
      <w:r>
        <w:rPr>
          <w:rFonts w:ascii="Calibri" w:eastAsia="Calibri" w:hAnsi="Calibri" w:cs="Calibri"/>
          <w:b/>
          <w:bCs/>
          <w:color w:val="2C3849"/>
          <w:sz w:val="17"/>
          <w:szCs w:val="17"/>
        </w:rPr>
        <w:t xml:space="preserve">Record the nil findings too. </w:t>
      </w:r>
      <w:r>
        <w:rPr>
          <w:rFonts w:ascii="Calibri" w:eastAsia="Calibri" w:hAnsi="Calibri" w:cs="Calibri"/>
          <w:color w:val="666666"/>
          <w:sz w:val="17"/>
          <w:szCs w:val="17"/>
        </w:rPr>
        <w:t>A register that only ever shows problems proves you found problems. A register showing you looked eleven times and found nothing, then found something on the twelfth, proves you had a system.</w:t>
      </w:r>
    </w:p>
    <w:p w14:paraId="6192EF82" w14:textId="77777777" w:rsidR="000E14B0" w:rsidRDefault="000E14B0">
      <w:pPr>
        <w:sectPr w:rsidR="000E14B0">
          <w:footerReference w:type="default" r:id="rId7"/>
          <w:pgSz w:w="16838" w:h="11906" w:orient="landscape"/>
          <w:pgMar w:top="720" w:right="720" w:bottom="720" w:left="720" w:header="708" w:footer="708" w:gutter="0"/>
          <w:cols w:space="720"/>
          <w:docGrid w:linePitch="360"/>
        </w:sectPr>
      </w:pPr>
    </w:p>
    <w:p w14:paraId="6192EF83" w14:textId="77777777" w:rsidR="000E14B0" w:rsidRDefault="00E52302">
      <w:pPr>
        <w:spacing w:after="100"/>
      </w:pPr>
      <w:r>
        <w:rPr>
          <w:rFonts w:ascii="Calibri" w:eastAsia="Calibri" w:hAnsi="Calibri" w:cs="Calibri"/>
          <w:b/>
          <w:bCs/>
          <w:color w:val="162C53"/>
          <w:sz w:val="30"/>
          <w:szCs w:val="30"/>
        </w:rPr>
        <w:lastRenderedPageBreak/>
        <w:t>How to rate what you find</w:t>
      </w:r>
    </w:p>
    <w:p w14:paraId="6192EF84" w14:textId="77777777" w:rsidR="000E14B0" w:rsidRDefault="00E52302">
      <w:pPr>
        <w:spacing w:after="60"/>
      </w:pPr>
      <w:r>
        <w:rPr>
          <w:rFonts w:ascii="Calibri" w:eastAsia="Calibri" w:hAnsi="Calibri" w:cs="Calibri"/>
          <w:color w:val="2C3849"/>
          <w:sz w:val="18"/>
          <w:szCs w:val="18"/>
        </w:rPr>
        <w:t>Three steps, in this order. Skip the first and the other two are guesswork.</w:t>
      </w:r>
    </w:p>
    <w:p w14:paraId="6192EF85" w14:textId="77777777" w:rsidR="000E14B0" w:rsidRDefault="00E52302">
      <w:pPr>
        <w:spacing w:before="150" w:after="100"/>
      </w:pPr>
      <w:r>
        <w:rPr>
          <w:rFonts w:ascii="Calibri" w:eastAsia="Calibri" w:hAnsi="Calibri" w:cs="Calibri"/>
          <w:b/>
          <w:bCs/>
          <w:caps/>
          <w:color w:val="162C53"/>
          <w:sz w:val="22"/>
          <w:szCs w:val="22"/>
        </w:rPr>
        <w:t>1. Work out what the risk actually is</w:t>
      </w:r>
    </w:p>
    <w:p w14:paraId="6192EF86" w14:textId="77777777" w:rsidR="000E14B0" w:rsidRDefault="00E52302">
      <w:pPr>
        <w:spacing w:after="80"/>
      </w:pPr>
      <w:r>
        <w:rPr>
          <w:rFonts w:ascii="Calibri" w:eastAsia="Calibri" w:hAnsi="Calibri" w:cs="Calibri"/>
          <w:color w:val="2C3849"/>
          <w:sz w:val="18"/>
          <w:szCs w:val="18"/>
        </w:rPr>
        <w:t>What you can see is rarely the risk. Graffiti is not a hazard. The risk is that the building looks unwatched, that whoever painted it reached a roof or a balcony nobody has secured, and that residents stop using the rear entrance after dark. Write down what could happen, and to whom, before you rate anything.</w:t>
      </w:r>
    </w:p>
    <w:p w14:paraId="6192EF87" w14:textId="77777777" w:rsidR="000E14B0" w:rsidRDefault="00E52302">
      <w:pPr>
        <w:spacing w:before="180" w:after="100"/>
      </w:pPr>
      <w:r>
        <w:rPr>
          <w:rFonts w:ascii="Calibri" w:eastAsia="Calibri" w:hAnsi="Calibri" w:cs="Calibri"/>
          <w:b/>
          <w:bCs/>
          <w:caps/>
          <w:color w:val="162C53"/>
          <w:sz w:val="22"/>
          <w:szCs w:val="22"/>
        </w:rPr>
        <w:t>2. Ask two questions, separately</w:t>
      </w:r>
    </w:p>
    <w:p w14:paraId="6192EF88" w14:textId="77777777" w:rsidR="000E14B0" w:rsidRDefault="00E52302">
      <w:pPr>
        <w:spacing w:after="80"/>
      </w:pPr>
      <w:r>
        <w:rPr>
          <w:rFonts w:ascii="Calibri" w:eastAsia="Calibri" w:hAnsi="Calibri" w:cs="Calibri"/>
          <w:b/>
          <w:bCs/>
          <w:color w:val="162C53"/>
          <w:sz w:val="18"/>
          <w:szCs w:val="18"/>
        </w:rPr>
        <w:t xml:space="preserve">LIKELIHOOD.  </w:t>
      </w:r>
      <w:r>
        <w:rPr>
          <w:rFonts w:ascii="Calibri" w:eastAsia="Calibri" w:hAnsi="Calibri" w:cs="Calibri"/>
          <w:color w:val="2C3849"/>
          <w:sz w:val="18"/>
          <w:szCs w:val="18"/>
        </w:rPr>
        <w:t xml:space="preserve">How probable is it that someone is </w:t>
      </w:r>
      <w:proofErr w:type="gramStart"/>
      <w:r>
        <w:rPr>
          <w:rFonts w:ascii="Calibri" w:eastAsia="Calibri" w:hAnsi="Calibri" w:cs="Calibri"/>
          <w:color w:val="2C3849"/>
          <w:sz w:val="18"/>
          <w:szCs w:val="18"/>
        </w:rPr>
        <w:t>actually harmed</w:t>
      </w:r>
      <w:proofErr w:type="gramEnd"/>
      <w:r>
        <w:rPr>
          <w:rFonts w:ascii="Calibri" w:eastAsia="Calibri" w:hAnsi="Calibri" w:cs="Calibri"/>
          <w:color w:val="2C3849"/>
          <w:sz w:val="18"/>
          <w:szCs w:val="18"/>
        </w:rPr>
        <w:t xml:space="preserve">? Not how probable it is that the condition continues. The gutter is </w:t>
      </w:r>
      <w:proofErr w:type="gramStart"/>
      <w:r>
        <w:rPr>
          <w:rFonts w:ascii="Calibri" w:eastAsia="Calibri" w:hAnsi="Calibri" w:cs="Calibri"/>
          <w:color w:val="2C3849"/>
          <w:sz w:val="18"/>
          <w:szCs w:val="18"/>
        </w:rPr>
        <w:t>definitely blocked</w:t>
      </w:r>
      <w:proofErr w:type="gramEnd"/>
      <w:r>
        <w:rPr>
          <w:rFonts w:ascii="Calibri" w:eastAsia="Calibri" w:hAnsi="Calibri" w:cs="Calibri"/>
          <w:color w:val="2C3849"/>
          <w:sz w:val="18"/>
          <w:szCs w:val="18"/>
        </w:rPr>
        <w:t>. Someone slipping on the wet patch is Possible.</w:t>
      </w:r>
    </w:p>
    <w:p w14:paraId="6192EF89" w14:textId="77777777" w:rsidR="000E14B0" w:rsidRDefault="00E52302">
      <w:pPr>
        <w:spacing w:after="80"/>
      </w:pPr>
      <w:r>
        <w:rPr>
          <w:rFonts w:ascii="Calibri" w:eastAsia="Calibri" w:hAnsi="Calibri" w:cs="Calibri"/>
          <w:b/>
          <w:bCs/>
          <w:color w:val="162C53"/>
          <w:sz w:val="18"/>
          <w:szCs w:val="18"/>
        </w:rPr>
        <w:t xml:space="preserve">CONSEQUENCE.  </w:t>
      </w:r>
      <w:r>
        <w:rPr>
          <w:rFonts w:ascii="Calibri" w:eastAsia="Calibri" w:hAnsi="Calibri" w:cs="Calibri"/>
          <w:color w:val="2C3849"/>
          <w:sz w:val="18"/>
          <w:szCs w:val="18"/>
        </w:rPr>
        <w:t>If it does happen, how bad is the worst credible outcome? Rate it against the most vulnerable person who could be there, not the fit and healthy one. A broken tile is a trip for the gardener and a fractured hip for an 84-year-old resident.</w:t>
      </w:r>
    </w:p>
    <w:p w14:paraId="6192EF8A" w14:textId="77777777" w:rsidR="000E14B0" w:rsidRDefault="00E52302">
      <w:pPr>
        <w:spacing w:after="80"/>
      </w:pPr>
      <w:r>
        <w:rPr>
          <w:rFonts w:ascii="Calibri" w:eastAsia="Calibri" w:hAnsi="Calibri" w:cs="Calibri"/>
          <w:b/>
          <w:bCs/>
          <w:color w:val="162C53"/>
          <w:sz w:val="18"/>
          <w:szCs w:val="18"/>
        </w:rPr>
        <w:t xml:space="preserve">For life safety systems, rate the failure, not the event.  </w:t>
      </w:r>
      <w:r>
        <w:rPr>
          <w:rFonts w:ascii="Calibri" w:eastAsia="Calibri" w:hAnsi="Calibri" w:cs="Calibri"/>
          <w:color w:val="2C3849"/>
          <w:sz w:val="18"/>
          <w:szCs w:val="18"/>
        </w:rPr>
        <w:t>A fire panel sitting in fault is not rated on how likely a fire is. It is rated on what happens when there is one and nothing detects it.</w:t>
      </w:r>
    </w:p>
    <w:p w14:paraId="6192EF8B" w14:textId="77777777" w:rsidR="000E14B0" w:rsidRDefault="00E52302">
      <w:pPr>
        <w:spacing w:after="80"/>
      </w:pPr>
      <w:r>
        <w:rPr>
          <w:rFonts w:ascii="Calibri" w:eastAsia="Calibri" w:hAnsi="Calibri" w:cs="Calibri"/>
          <w:b/>
          <w:bCs/>
          <w:color w:val="162C53"/>
          <w:sz w:val="18"/>
          <w:szCs w:val="18"/>
        </w:rPr>
        <w:t xml:space="preserve">And do not rate what offends you.  </w:t>
      </w:r>
      <w:r>
        <w:rPr>
          <w:rFonts w:ascii="Calibri" w:eastAsia="Calibri" w:hAnsi="Calibri" w:cs="Calibri"/>
          <w:color w:val="2C3849"/>
          <w:sz w:val="18"/>
          <w:szCs w:val="18"/>
        </w:rPr>
        <w:t>A padlock hanging on a hydrant valve looks wrong. If the valve still turns, it is a short delay, not a system failure. Restraint is as much a part of the method as escalation.</w:t>
      </w:r>
    </w:p>
    <w:p w14:paraId="6192EF8C" w14:textId="77777777" w:rsidR="000E14B0" w:rsidRDefault="00E52302">
      <w:pPr>
        <w:spacing w:before="180" w:after="100"/>
      </w:pPr>
      <w:r>
        <w:rPr>
          <w:rFonts w:ascii="Calibri" w:eastAsia="Calibri" w:hAnsi="Calibri" w:cs="Calibri"/>
          <w:b/>
          <w:bCs/>
          <w:caps/>
          <w:color w:val="162C53"/>
          <w:sz w:val="22"/>
          <w:szCs w:val="22"/>
        </w:rPr>
        <w:t>3. Multiply them</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46"/>
        <w:gridCol w:w="1744"/>
        <w:gridCol w:w="1744"/>
        <w:gridCol w:w="1744"/>
        <w:gridCol w:w="1744"/>
        <w:gridCol w:w="1744"/>
      </w:tblGrid>
      <w:tr w:rsidR="000E14B0" w14:paraId="6192EF93" w14:textId="77777777">
        <w:tblPrEx>
          <w:tblCellMar>
            <w:top w:w="0" w:type="dxa"/>
            <w:bottom w:w="0" w:type="dxa"/>
          </w:tblCellMar>
        </w:tblPrEx>
        <w:trPr>
          <w:tblHeader/>
        </w:trPr>
        <w:tc>
          <w:tcPr>
            <w:tcW w:w="1746"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8D" w14:textId="77777777" w:rsidR="000E14B0" w:rsidRDefault="00E52302">
            <w:r>
              <w:rPr>
                <w:rFonts w:ascii="Calibri" w:eastAsia="Calibri" w:hAnsi="Calibri" w:cs="Calibri"/>
                <w:b/>
                <w:bCs/>
                <w:caps/>
                <w:color w:val="FFFFFF"/>
                <w:sz w:val="15"/>
                <w:szCs w:val="15"/>
              </w:rPr>
              <w:t>Likelihood \ Consequence</w:t>
            </w:r>
          </w:p>
        </w:tc>
        <w:tc>
          <w:tcPr>
            <w:tcW w:w="1744"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8E" w14:textId="77777777" w:rsidR="000E14B0" w:rsidRDefault="00E52302">
            <w:r>
              <w:rPr>
                <w:rFonts w:ascii="Calibri" w:eastAsia="Calibri" w:hAnsi="Calibri" w:cs="Calibri"/>
                <w:b/>
                <w:bCs/>
                <w:caps/>
                <w:color w:val="FFFFFF"/>
                <w:sz w:val="15"/>
                <w:szCs w:val="15"/>
              </w:rPr>
              <w:t>Insignificant (1)</w:t>
            </w:r>
          </w:p>
        </w:tc>
        <w:tc>
          <w:tcPr>
            <w:tcW w:w="1744"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8F" w14:textId="77777777" w:rsidR="000E14B0" w:rsidRDefault="00E52302">
            <w:r>
              <w:rPr>
                <w:rFonts w:ascii="Calibri" w:eastAsia="Calibri" w:hAnsi="Calibri" w:cs="Calibri"/>
                <w:b/>
                <w:bCs/>
                <w:caps/>
                <w:color w:val="FFFFFF"/>
                <w:sz w:val="15"/>
                <w:szCs w:val="15"/>
              </w:rPr>
              <w:t>Minor (2)</w:t>
            </w:r>
          </w:p>
        </w:tc>
        <w:tc>
          <w:tcPr>
            <w:tcW w:w="1744"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90" w14:textId="77777777" w:rsidR="000E14B0" w:rsidRDefault="00E52302">
            <w:r>
              <w:rPr>
                <w:rFonts w:ascii="Calibri" w:eastAsia="Calibri" w:hAnsi="Calibri" w:cs="Calibri"/>
                <w:b/>
                <w:bCs/>
                <w:caps/>
                <w:color w:val="FFFFFF"/>
                <w:sz w:val="15"/>
                <w:szCs w:val="15"/>
              </w:rPr>
              <w:t>Moderate (3)</w:t>
            </w:r>
          </w:p>
        </w:tc>
        <w:tc>
          <w:tcPr>
            <w:tcW w:w="1744"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91" w14:textId="77777777" w:rsidR="000E14B0" w:rsidRDefault="00E52302">
            <w:r>
              <w:rPr>
                <w:rFonts w:ascii="Calibri" w:eastAsia="Calibri" w:hAnsi="Calibri" w:cs="Calibri"/>
                <w:b/>
                <w:bCs/>
                <w:caps/>
                <w:color w:val="FFFFFF"/>
                <w:sz w:val="15"/>
                <w:szCs w:val="15"/>
              </w:rPr>
              <w:t>Major (4)</w:t>
            </w:r>
          </w:p>
        </w:tc>
        <w:tc>
          <w:tcPr>
            <w:tcW w:w="1744"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92" w14:textId="77777777" w:rsidR="000E14B0" w:rsidRDefault="00E52302">
            <w:r>
              <w:rPr>
                <w:rFonts w:ascii="Calibri" w:eastAsia="Calibri" w:hAnsi="Calibri" w:cs="Calibri"/>
                <w:b/>
                <w:bCs/>
                <w:caps/>
                <w:color w:val="FFFFFF"/>
                <w:sz w:val="15"/>
                <w:szCs w:val="15"/>
              </w:rPr>
              <w:t>Catastrophic (5)</w:t>
            </w:r>
          </w:p>
        </w:tc>
      </w:tr>
      <w:tr w:rsidR="000E14B0" w14:paraId="6192EF9A" w14:textId="77777777">
        <w:tblPrEx>
          <w:tblCellMar>
            <w:top w:w="0" w:type="dxa"/>
            <w:bottom w:w="0" w:type="dxa"/>
          </w:tblCellMar>
        </w:tblPrEx>
        <w:tc>
          <w:tcPr>
            <w:tcW w:w="1746" w:type="dxa"/>
            <w:tcBorders>
              <w:top w:val="single" w:sz="4" w:space="0" w:color="A6A6A6"/>
              <w:left w:val="single" w:sz="4" w:space="0" w:color="A6A6A6"/>
              <w:bottom w:val="single" w:sz="4" w:space="0" w:color="A6A6A6"/>
              <w:right w:val="single" w:sz="4" w:space="0" w:color="A6A6A6"/>
            </w:tcBorders>
            <w:shd w:val="clear" w:color="auto" w:fill="F2F4F7"/>
            <w:tcMar>
              <w:top w:w="55" w:type="dxa"/>
              <w:left w:w="85" w:type="dxa"/>
              <w:bottom w:w="55" w:type="dxa"/>
              <w:right w:w="85" w:type="dxa"/>
            </w:tcMar>
            <w:vAlign w:val="center"/>
          </w:tcPr>
          <w:p w14:paraId="6192EF94" w14:textId="77777777" w:rsidR="000E14B0" w:rsidRDefault="00E52302">
            <w:r>
              <w:rPr>
                <w:rFonts w:ascii="Calibri" w:eastAsia="Calibri" w:hAnsi="Calibri" w:cs="Calibri"/>
                <w:b/>
                <w:bCs/>
                <w:color w:val="2C3849"/>
                <w:sz w:val="16"/>
                <w:szCs w:val="16"/>
              </w:rPr>
              <w:t>Almost certain (5)</w:t>
            </w:r>
          </w:p>
        </w:tc>
        <w:tc>
          <w:tcPr>
            <w:tcW w:w="1744" w:type="dxa"/>
            <w:tcBorders>
              <w:top w:val="single" w:sz="4" w:space="0" w:color="A6A6A6"/>
              <w:left w:val="single" w:sz="4" w:space="0" w:color="A6A6A6"/>
              <w:bottom w:val="single" w:sz="4" w:space="0" w:color="A6A6A6"/>
              <w:right w:val="single" w:sz="4" w:space="0" w:color="A6A6A6"/>
            </w:tcBorders>
            <w:shd w:val="clear" w:color="auto" w:fill="FDE9D0"/>
            <w:tcMar>
              <w:top w:w="55" w:type="dxa"/>
              <w:left w:w="85" w:type="dxa"/>
              <w:bottom w:w="55" w:type="dxa"/>
              <w:right w:w="85" w:type="dxa"/>
            </w:tcMar>
            <w:vAlign w:val="center"/>
          </w:tcPr>
          <w:p w14:paraId="6192EF95" w14:textId="77777777" w:rsidR="000E14B0" w:rsidRDefault="00E52302">
            <w:pPr>
              <w:jc w:val="center"/>
            </w:pPr>
            <w:r>
              <w:rPr>
                <w:rFonts w:ascii="Calibri" w:eastAsia="Calibri" w:hAnsi="Calibri" w:cs="Calibri"/>
                <w:b/>
                <w:bCs/>
                <w:color w:val="B26B00"/>
                <w:sz w:val="16"/>
                <w:szCs w:val="16"/>
              </w:rPr>
              <w:t>MED 5</w:t>
            </w:r>
          </w:p>
        </w:tc>
        <w:tc>
          <w:tcPr>
            <w:tcW w:w="1744" w:type="dxa"/>
            <w:tcBorders>
              <w:top w:val="single" w:sz="4" w:space="0" w:color="A6A6A6"/>
              <w:left w:val="single" w:sz="4" w:space="0" w:color="A6A6A6"/>
              <w:bottom w:val="single" w:sz="4" w:space="0" w:color="A6A6A6"/>
              <w:right w:val="single" w:sz="4" w:space="0" w:color="A6A6A6"/>
            </w:tcBorders>
            <w:shd w:val="clear" w:color="auto" w:fill="FAC8B2"/>
            <w:tcMar>
              <w:top w:w="55" w:type="dxa"/>
              <w:left w:w="85" w:type="dxa"/>
              <w:bottom w:w="55" w:type="dxa"/>
              <w:right w:w="85" w:type="dxa"/>
            </w:tcMar>
            <w:vAlign w:val="center"/>
          </w:tcPr>
          <w:p w14:paraId="6192EF96" w14:textId="77777777" w:rsidR="000E14B0" w:rsidRDefault="00E52302">
            <w:pPr>
              <w:jc w:val="center"/>
            </w:pPr>
            <w:r>
              <w:rPr>
                <w:rFonts w:ascii="Calibri" w:eastAsia="Calibri" w:hAnsi="Calibri" w:cs="Calibri"/>
                <w:b/>
                <w:bCs/>
                <w:color w:val="C55A11"/>
                <w:sz w:val="16"/>
                <w:szCs w:val="16"/>
              </w:rPr>
              <w:t>HIGH 10</w:t>
            </w:r>
          </w:p>
        </w:tc>
        <w:tc>
          <w:tcPr>
            <w:tcW w:w="1744" w:type="dxa"/>
            <w:tcBorders>
              <w:top w:val="single" w:sz="4" w:space="0" w:color="A6A6A6"/>
              <w:left w:val="single" w:sz="4" w:space="0" w:color="A6A6A6"/>
              <w:bottom w:val="single" w:sz="4" w:space="0" w:color="A6A6A6"/>
              <w:right w:val="single" w:sz="4" w:space="0" w:color="A6A6A6"/>
            </w:tcBorders>
            <w:shd w:val="clear" w:color="auto" w:fill="FAC8B2"/>
            <w:tcMar>
              <w:top w:w="55" w:type="dxa"/>
              <w:left w:w="85" w:type="dxa"/>
              <w:bottom w:w="55" w:type="dxa"/>
              <w:right w:w="85" w:type="dxa"/>
            </w:tcMar>
            <w:vAlign w:val="center"/>
          </w:tcPr>
          <w:p w14:paraId="6192EF97" w14:textId="77777777" w:rsidR="000E14B0" w:rsidRDefault="00E52302">
            <w:pPr>
              <w:jc w:val="center"/>
            </w:pPr>
            <w:r>
              <w:rPr>
                <w:rFonts w:ascii="Calibri" w:eastAsia="Calibri" w:hAnsi="Calibri" w:cs="Calibri"/>
                <w:b/>
                <w:bCs/>
                <w:color w:val="C55A11"/>
                <w:sz w:val="16"/>
                <w:szCs w:val="16"/>
              </w:rPr>
              <w:t>HIGH 15</w:t>
            </w:r>
          </w:p>
        </w:tc>
        <w:tc>
          <w:tcPr>
            <w:tcW w:w="1744" w:type="dxa"/>
            <w:tcBorders>
              <w:top w:val="single" w:sz="4" w:space="0" w:color="A6A6A6"/>
              <w:left w:val="single" w:sz="4" w:space="0" w:color="A6A6A6"/>
              <w:bottom w:val="single" w:sz="4" w:space="0" w:color="A6A6A6"/>
              <w:right w:val="single" w:sz="4" w:space="0" w:color="A6A6A6"/>
            </w:tcBorders>
            <w:shd w:val="clear" w:color="auto" w:fill="F4B6B6"/>
            <w:tcMar>
              <w:top w:w="55" w:type="dxa"/>
              <w:left w:w="85" w:type="dxa"/>
              <w:bottom w:w="55" w:type="dxa"/>
              <w:right w:w="85" w:type="dxa"/>
            </w:tcMar>
            <w:vAlign w:val="center"/>
          </w:tcPr>
          <w:p w14:paraId="6192EF98" w14:textId="77777777" w:rsidR="000E14B0" w:rsidRDefault="00E52302">
            <w:pPr>
              <w:jc w:val="center"/>
            </w:pPr>
            <w:r>
              <w:rPr>
                <w:rFonts w:ascii="Calibri" w:eastAsia="Calibri" w:hAnsi="Calibri" w:cs="Calibri"/>
                <w:b/>
                <w:bCs/>
                <w:color w:val="C00000"/>
                <w:sz w:val="16"/>
                <w:szCs w:val="16"/>
              </w:rPr>
              <w:t>EXT 20</w:t>
            </w:r>
          </w:p>
        </w:tc>
        <w:tc>
          <w:tcPr>
            <w:tcW w:w="1744" w:type="dxa"/>
            <w:tcBorders>
              <w:top w:val="single" w:sz="4" w:space="0" w:color="A6A6A6"/>
              <w:left w:val="single" w:sz="4" w:space="0" w:color="A6A6A6"/>
              <w:bottom w:val="single" w:sz="4" w:space="0" w:color="A6A6A6"/>
              <w:right w:val="single" w:sz="4" w:space="0" w:color="A6A6A6"/>
            </w:tcBorders>
            <w:shd w:val="clear" w:color="auto" w:fill="F4B6B6"/>
            <w:tcMar>
              <w:top w:w="55" w:type="dxa"/>
              <w:left w:w="85" w:type="dxa"/>
              <w:bottom w:w="55" w:type="dxa"/>
              <w:right w:w="85" w:type="dxa"/>
            </w:tcMar>
            <w:vAlign w:val="center"/>
          </w:tcPr>
          <w:p w14:paraId="6192EF99" w14:textId="77777777" w:rsidR="000E14B0" w:rsidRDefault="00E52302">
            <w:pPr>
              <w:jc w:val="center"/>
            </w:pPr>
            <w:r>
              <w:rPr>
                <w:rFonts w:ascii="Calibri" w:eastAsia="Calibri" w:hAnsi="Calibri" w:cs="Calibri"/>
                <w:b/>
                <w:bCs/>
                <w:color w:val="C00000"/>
                <w:sz w:val="16"/>
                <w:szCs w:val="16"/>
              </w:rPr>
              <w:t>EXT 25</w:t>
            </w:r>
          </w:p>
        </w:tc>
      </w:tr>
      <w:tr w:rsidR="000E14B0" w14:paraId="6192EFA1" w14:textId="77777777">
        <w:tblPrEx>
          <w:tblCellMar>
            <w:top w:w="0" w:type="dxa"/>
            <w:bottom w:w="0" w:type="dxa"/>
          </w:tblCellMar>
        </w:tblPrEx>
        <w:tc>
          <w:tcPr>
            <w:tcW w:w="1746" w:type="dxa"/>
            <w:tcBorders>
              <w:top w:val="single" w:sz="4" w:space="0" w:color="A6A6A6"/>
              <w:left w:val="single" w:sz="4" w:space="0" w:color="A6A6A6"/>
              <w:bottom w:val="single" w:sz="4" w:space="0" w:color="A6A6A6"/>
              <w:right w:val="single" w:sz="4" w:space="0" w:color="A6A6A6"/>
            </w:tcBorders>
            <w:shd w:val="clear" w:color="auto" w:fill="F2F4F7"/>
            <w:tcMar>
              <w:top w:w="55" w:type="dxa"/>
              <w:left w:w="85" w:type="dxa"/>
              <w:bottom w:w="55" w:type="dxa"/>
              <w:right w:w="85" w:type="dxa"/>
            </w:tcMar>
            <w:vAlign w:val="center"/>
          </w:tcPr>
          <w:p w14:paraId="6192EF9B" w14:textId="77777777" w:rsidR="000E14B0" w:rsidRDefault="00E52302">
            <w:r>
              <w:rPr>
                <w:rFonts w:ascii="Calibri" w:eastAsia="Calibri" w:hAnsi="Calibri" w:cs="Calibri"/>
                <w:b/>
                <w:bCs/>
                <w:color w:val="2C3849"/>
                <w:sz w:val="16"/>
                <w:szCs w:val="16"/>
              </w:rPr>
              <w:t>Likely (4)</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9C" w14:textId="77777777" w:rsidR="000E14B0" w:rsidRDefault="00E52302">
            <w:pPr>
              <w:jc w:val="center"/>
            </w:pPr>
            <w:r>
              <w:rPr>
                <w:rFonts w:ascii="Calibri" w:eastAsia="Calibri" w:hAnsi="Calibri" w:cs="Calibri"/>
                <w:b/>
                <w:bCs/>
                <w:color w:val="1F4E79"/>
                <w:sz w:val="16"/>
                <w:szCs w:val="16"/>
              </w:rPr>
              <w:t>LOW 4</w:t>
            </w:r>
          </w:p>
        </w:tc>
        <w:tc>
          <w:tcPr>
            <w:tcW w:w="1744" w:type="dxa"/>
            <w:tcBorders>
              <w:top w:val="single" w:sz="4" w:space="0" w:color="A6A6A6"/>
              <w:left w:val="single" w:sz="4" w:space="0" w:color="A6A6A6"/>
              <w:bottom w:val="single" w:sz="4" w:space="0" w:color="A6A6A6"/>
              <w:right w:val="single" w:sz="4" w:space="0" w:color="A6A6A6"/>
            </w:tcBorders>
            <w:shd w:val="clear" w:color="auto" w:fill="FDE9D0"/>
            <w:tcMar>
              <w:top w:w="55" w:type="dxa"/>
              <w:left w:w="85" w:type="dxa"/>
              <w:bottom w:w="55" w:type="dxa"/>
              <w:right w:w="85" w:type="dxa"/>
            </w:tcMar>
            <w:vAlign w:val="center"/>
          </w:tcPr>
          <w:p w14:paraId="6192EF9D" w14:textId="77777777" w:rsidR="000E14B0" w:rsidRDefault="00E52302">
            <w:pPr>
              <w:jc w:val="center"/>
            </w:pPr>
            <w:r>
              <w:rPr>
                <w:rFonts w:ascii="Calibri" w:eastAsia="Calibri" w:hAnsi="Calibri" w:cs="Calibri"/>
                <w:b/>
                <w:bCs/>
                <w:color w:val="B26B00"/>
                <w:sz w:val="16"/>
                <w:szCs w:val="16"/>
              </w:rPr>
              <w:t>MED 8</w:t>
            </w:r>
          </w:p>
        </w:tc>
        <w:tc>
          <w:tcPr>
            <w:tcW w:w="1744" w:type="dxa"/>
            <w:tcBorders>
              <w:top w:val="single" w:sz="4" w:space="0" w:color="A6A6A6"/>
              <w:left w:val="single" w:sz="4" w:space="0" w:color="A6A6A6"/>
              <w:bottom w:val="single" w:sz="4" w:space="0" w:color="A6A6A6"/>
              <w:right w:val="single" w:sz="4" w:space="0" w:color="A6A6A6"/>
            </w:tcBorders>
            <w:shd w:val="clear" w:color="auto" w:fill="FAC8B2"/>
            <w:tcMar>
              <w:top w:w="55" w:type="dxa"/>
              <w:left w:w="85" w:type="dxa"/>
              <w:bottom w:w="55" w:type="dxa"/>
              <w:right w:w="85" w:type="dxa"/>
            </w:tcMar>
            <w:vAlign w:val="center"/>
          </w:tcPr>
          <w:p w14:paraId="6192EF9E" w14:textId="77777777" w:rsidR="000E14B0" w:rsidRDefault="00E52302">
            <w:pPr>
              <w:jc w:val="center"/>
            </w:pPr>
            <w:r>
              <w:rPr>
                <w:rFonts w:ascii="Calibri" w:eastAsia="Calibri" w:hAnsi="Calibri" w:cs="Calibri"/>
                <w:b/>
                <w:bCs/>
                <w:color w:val="C55A11"/>
                <w:sz w:val="16"/>
                <w:szCs w:val="16"/>
              </w:rPr>
              <w:t>HIGH 12</w:t>
            </w:r>
          </w:p>
        </w:tc>
        <w:tc>
          <w:tcPr>
            <w:tcW w:w="1744" w:type="dxa"/>
            <w:tcBorders>
              <w:top w:val="single" w:sz="4" w:space="0" w:color="A6A6A6"/>
              <w:left w:val="single" w:sz="4" w:space="0" w:color="A6A6A6"/>
              <w:bottom w:val="single" w:sz="4" w:space="0" w:color="A6A6A6"/>
              <w:right w:val="single" w:sz="4" w:space="0" w:color="A6A6A6"/>
            </w:tcBorders>
            <w:shd w:val="clear" w:color="auto" w:fill="FAC8B2"/>
            <w:tcMar>
              <w:top w:w="55" w:type="dxa"/>
              <w:left w:w="85" w:type="dxa"/>
              <w:bottom w:w="55" w:type="dxa"/>
              <w:right w:w="85" w:type="dxa"/>
            </w:tcMar>
            <w:vAlign w:val="center"/>
          </w:tcPr>
          <w:p w14:paraId="6192EF9F" w14:textId="77777777" w:rsidR="000E14B0" w:rsidRDefault="00E52302">
            <w:pPr>
              <w:jc w:val="center"/>
            </w:pPr>
            <w:r>
              <w:rPr>
                <w:rFonts w:ascii="Calibri" w:eastAsia="Calibri" w:hAnsi="Calibri" w:cs="Calibri"/>
                <w:b/>
                <w:bCs/>
                <w:color w:val="C55A11"/>
                <w:sz w:val="16"/>
                <w:szCs w:val="16"/>
              </w:rPr>
              <w:t>HIGH 16</w:t>
            </w:r>
          </w:p>
        </w:tc>
        <w:tc>
          <w:tcPr>
            <w:tcW w:w="1744" w:type="dxa"/>
            <w:tcBorders>
              <w:top w:val="single" w:sz="4" w:space="0" w:color="A6A6A6"/>
              <w:left w:val="single" w:sz="4" w:space="0" w:color="A6A6A6"/>
              <w:bottom w:val="single" w:sz="4" w:space="0" w:color="A6A6A6"/>
              <w:right w:val="single" w:sz="4" w:space="0" w:color="A6A6A6"/>
            </w:tcBorders>
            <w:shd w:val="clear" w:color="auto" w:fill="F4B6B6"/>
            <w:tcMar>
              <w:top w:w="55" w:type="dxa"/>
              <w:left w:w="85" w:type="dxa"/>
              <w:bottom w:w="55" w:type="dxa"/>
              <w:right w:w="85" w:type="dxa"/>
            </w:tcMar>
            <w:vAlign w:val="center"/>
          </w:tcPr>
          <w:p w14:paraId="6192EFA0" w14:textId="77777777" w:rsidR="000E14B0" w:rsidRDefault="00E52302">
            <w:pPr>
              <w:jc w:val="center"/>
            </w:pPr>
            <w:r>
              <w:rPr>
                <w:rFonts w:ascii="Calibri" w:eastAsia="Calibri" w:hAnsi="Calibri" w:cs="Calibri"/>
                <w:b/>
                <w:bCs/>
                <w:color w:val="C00000"/>
                <w:sz w:val="16"/>
                <w:szCs w:val="16"/>
              </w:rPr>
              <w:t>EXT 20</w:t>
            </w:r>
          </w:p>
        </w:tc>
      </w:tr>
      <w:tr w:rsidR="000E14B0" w14:paraId="6192EFA8" w14:textId="77777777">
        <w:tblPrEx>
          <w:tblCellMar>
            <w:top w:w="0" w:type="dxa"/>
            <w:bottom w:w="0" w:type="dxa"/>
          </w:tblCellMar>
        </w:tblPrEx>
        <w:tc>
          <w:tcPr>
            <w:tcW w:w="1746" w:type="dxa"/>
            <w:tcBorders>
              <w:top w:val="single" w:sz="4" w:space="0" w:color="A6A6A6"/>
              <w:left w:val="single" w:sz="4" w:space="0" w:color="A6A6A6"/>
              <w:bottom w:val="single" w:sz="4" w:space="0" w:color="A6A6A6"/>
              <w:right w:val="single" w:sz="4" w:space="0" w:color="A6A6A6"/>
            </w:tcBorders>
            <w:shd w:val="clear" w:color="auto" w:fill="F2F4F7"/>
            <w:tcMar>
              <w:top w:w="55" w:type="dxa"/>
              <w:left w:w="85" w:type="dxa"/>
              <w:bottom w:w="55" w:type="dxa"/>
              <w:right w:w="85" w:type="dxa"/>
            </w:tcMar>
            <w:vAlign w:val="center"/>
          </w:tcPr>
          <w:p w14:paraId="6192EFA2" w14:textId="77777777" w:rsidR="000E14B0" w:rsidRDefault="00E52302">
            <w:r>
              <w:rPr>
                <w:rFonts w:ascii="Calibri" w:eastAsia="Calibri" w:hAnsi="Calibri" w:cs="Calibri"/>
                <w:b/>
                <w:bCs/>
                <w:color w:val="2C3849"/>
                <w:sz w:val="16"/>
                <w:szCs w:val="16"/>
              </w:rPr>
              <w:t>Possible (3)</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A3" w14:textId="77777777" w:rsidR="000E14B0" w:rsidRDefault="00E52302">
            <w:pPr>
              <w:jc w:val="center"/>
            </w:pPr>
            <w:r>
              <w:rPr>
                <w:rFonts w:ascii="Calibri" w:eastAsia="Calibri" w:hAnsi="Calibri" w:cs="Calibri"/>
                <w:b/>
                <w:bCs/>
                <w:color w:val="1F4E79"/>
                <w:sz w:val="16"/>
                <w:szCs w:val="16"/>
              </w:rPr>
              <w:t>LOW 3</w:t>
            </w:r>
          </w:p>
        </w:tc>
        <w:tc>
          <w:tcPr>
            <w:tcW w:w="1744" w:type="dxa"/>
            <w:tcBorders>
              <w:top w:val="single" w:sz="4" w:space="0" w:color="A6A6A6"/>
              <w:left w:val="single" w:sz="4" w:space="0" w:color="A6A6A6"/>
              <w:bottom w:val="single" w:sz="4" w:space="0" w:color="A6A6A6"/>
              <w:right w:val="single" w:sz="4" w:space="0" w:color="A6A6A6"/>
            </w:tcBorders>
            <w:shd w:val="clear" w:color="auto" w:fill="FDE9D0"/>
            <w:tcMar>
              <w:top w:w="55" w:type="dxa"/>
              <w:left w:w="85" w:type="dxa"/>
              <w:bottom w:w="55" w:type="dxa"/>
              <w:right w:w="85" w:type="dxa"/>
            </w:tcMar>
            <w:vAlign w:val="center"/>
          </w:tcPr>
          <w:p w14:paraId="6192EFA4" w14:textId="77777777" w:rsidR="000E14B0" w:rsidRDefault="00E52302">
            <w:pPr>
              <w:jc w:val="center"/>
            </w:pPr>
            <w:r>
              <w:rPr>
                <w:rFonts w:ascii="Calibri" w:eastAsia="Calibri" w:hAnsi="Calibri" w:cs="Calibri"/>
                <w:b/>
                <w:bCs/>
                <w:color w:val="B26B00"/>
                <w:sz w:val="16"/>
                <w:szCs w:val="16"/>
              </w:rPr>
              <w:t>MED 6</w:t>
            </w:r>
          </w:p>
        </w:tc>
        <w:tc>
          <w:tcPr>
            <w:tcW w:w="1744" w:type="dxa"/>
            <w:tcBorders>
              <w:top w:val="single" w:sz="4" w:space="0" w:color="A6A6A6"/>
              <w:left w:val="single" w:sz="4" w:space="0" w:color="A6A6A6"/>
              <w:bottom w:val="single" w:sz="4" w:space="0" w:color="A6A6A6"/>
              <w:right w:val="single" w:sz="4" w:space="0" w:color="A6A6A6"/>
            </w:tcBorders>
            <w:shd w:val="clear" w:color="auto" w:fill="FDE9D0"/>
            <w:tcMar>
              <w:top w:w="55" w:type="dxa"/>
              <w:left w:w="85" w:type="dxa"/>
              <w:bottom w:w="55" w:type="dxa"/>
              <w:right w:w="85" w:type="dxa"/>
            </w:tcMar>
            <w:vAlign w:val="center"/>
          </w:tcPr>
          <w:p w14:paraId="6192EFA5" w14:textId="77777777" w:rsidR="000E14B0" w:rsidRDefault="00E52302">
            <w:pPr>
              <w:jc w:val="center"/>
            </w:pPr>
            <w:r>
              <w:rPr>
                <w:rFonts w:ascii="Calibri" w:eastAsia="Calibri" w:hAnsi="Calibri" w:cs="Calibri"/>
                <w:b/>
                <w:bCs/>
                <w:color w:val="B26B00"/>
                <w:sz w:val="16"/>
                <w:szCs w:val="16"/>
              </w:rPr>
              <w:t>MED 9</w:t>
            </w:r>
          </w:p>
        </w:tc>
        <w:tc>
          <w:tcPr>
            <w:tcW w:w="1744" w:type="dxa"/>
            <w:tcBorders>
              <w:top w:val="single" w:sz="4" w:space="0" w:color="A6A6A6"/>
              <w:left w:val="single" w:sz="4" w:space="0" w:color="A6A6A6"/>
              <w:bottom w:val="single" w:sz="4" w:space="0" w:color="A6A6A6"/>
              <w:right w:val="single" w:sz="4" w:space="0" w:color="A6A6A6"/>
            </w:tcBorders>
            <w:shd w:val="clear" w:color="auto" w:fill="FAC8B2"/>
            <w:tcMar>
              <w:top w:w="55" w:type="dxa"/>
              <w:left w:w="85" w:type="dxa"/>
              <w:bottom w:w="55" w:type="dxa"/>
              <w:right w:w="85" w:type="dxa"/>
            </w:tcMar>
            <w:vAlign w:val="center"/>
          </w:tcPr>
          <w:p w14:paraId="6192EFA6" w14:textId="77777777" w:rsidR="000E14B0" w:rsidRDefault="00E52302">
            <w:pPr>
              <w:jc w:val="center"/>
            </w:pPr>
            <w:r>
              <w:rPr>
                <w:rFonts w:ascii="Calibri" w:eastAsia="Calibri" w:hAnsi="Calibri" w:cs="Calibri"/>
                <w:b/>
                <w:bCs/>
                <w:color w:val="C55A11"/>
                <w:sz w:val="16"/>
                <w:szCs w:val="16"/>
              </w:rPr>
              <w:t>HIGH 12</w:t>
            </w:r>
          </w:p>
        </w:tc>
        <w:tc>
          <w:tcPr>
            <w:tcW w:w="1744" w:type="dxa"/>
            <w:tcBorders>
              <w:top w:val="single" w:sz="4" w:space="0" w:color="A6A6A6"/>
              <w:left w:val="single" w:sz="4" w:space="0" w:color="A6A6A6"/>
              <w:bottom w:val="single" w:sz="4" w:space="0" w:color="A6A6A6"/>
              <w:right w:val="single" w:sz="4" w:space="0" w:color="A6A6A6"/>
            </w:tcBorders>
            <w:shd w:val="clear" w:color="auto" w:fill="FAC8B2"/>
            <w:tcMar>
              <w:top w:w="55" w:type="dxa"/>
              <w:left w:w="85" w:type="dxa"/>
              <w:bottom w:w="55" w:type="dxa"/>
              <w:right w:w="85" w:type="dxa"/>
            </w:tcMar>
            <w:vAlign w:val="center"/>
          </w:tcPr>
          <w:p w14:paraId="6192EFA7" w14:textId="77777777" w:rsidR="000E14B0" w:rsidRDefault="00E52302">
            <w:pPr>
              <w:jc w:val="center"/>
            </w:pPr>
            <w:r>
              <w:rPr>
                <w:rFonts w:ascii="Calibri" w:eastAsia="Calibri" w:hAnsi="Calibri" w:cs="Calibri"/>
                <w:b/>
                <w:bCs/>
                <w:color w:val="C55A11"/>
                <w:sz w:val="16"/>
                <w:szCs w:val="16"/>
              </w:rPr>
              <w:t>HIGH 15</w:t>
            </w:r>
          </w:p>
        </w:tc>
      </w:tr>
      <w:tr w:rsidR="000E14B0" w14:paraId="6192EFAF" w14:textId="77777777">
        <w:tblPrEx>
          <w:tblCellMar>
            <w:top w:w="0" w:type="dxa"/>
            <w:bottom w:w="0" w:type="dxa"/>
          </w:tblCellMar>
        </w:tblPrEx>
        <w:tc>
          <w:tcPr>
            <w:tcW w:w="1746" w:type="dxa"/>
            <w:tcBorders>
              <w:top w:val="single" w:sz="4" w:space="0" w:color="A6A6A6"/>
              <w:left w:val="single" w:sz="4" w:space="0" w:color="A6A6A6"/>
              <w:bottom w:val="single" w:sz="4" w:space="0" w:color="A6A6A6"/>
              <w:right w:val="single" w:sz="4" w:space="0" w:color="A6A6A6"/>
            </w:tcBorders>
            <w:shd w:val="clear" w:color="auto" w:fill="F2F4F7"/>
            <w:tcMar>
              <w:top w:w="55" w:type="dxa"/>
              <w:left w:w="85" w:type="dxa"/>
              <w:bottom w:w="55" w:type="dxa"/>
              <w:right w:w="85" w:type="dxa"/>
            </w:tcMar>
            <w:vAlign w:val="center"/>
          </w:tcPr>
          <w:p w14:paraId="6192EFA9" w14:textId="77777777" w:rsidR="000E14B0" w:rsidRDefault="00E52302">
            <w:r>
              <w:rPr>
                <w:rFonts w:ascii="Calibri" w:eastAsia="Calibri" w:hAnsi="Calibri" w:cs="Calibri"/>
                <w:b/>
                <w:bCs/>
                <w:color w:val="2C3849"/>
                <w:sz w:val="16"/>
                <w:szCs w:val="16"/>
              </w:rPr>
              <w:t>Unlikely (2)</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AA" w14:textId="77777777" w:rsidR="000E14B0" w:rsidRDefault="00E52302">
            <w:pPr>
              <w:jc w:val="center"/>
            </w:pPr>
            <w:r>
              <w:rPr>
                <w:rFonts w:ascii="Calibri" w:eastAsia="Calibri" w:hAnsi="Calibri" w:cs="Calibri"/>
                <w:b/>
                <w:bCs/>
                <w:color w:val="1F4E79"/>
                <w:sz w:val="16"/>
                <w:szCs w:val="16"/>
              </w:rPr>
              <w:t>LOW 2</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AB" w14:textId="77777777" w:rsidR="000E14B0" w:rsidRDefault="00E52302">
            <w:pPr>
              <w:jc w:val="center"/>
            </w:pPr>
            <w:r>
              <w:rPr>
                <w:rFonts w:ascii="Calibri" w:eastAsia="Calibri" w:hAnsi="Calibri" w:cs="Calibri"/>
                <w:b/>
                <w:bCs/>
                <w:color w:val="1F4E79"/>
                <w:sz w:val="16"/>
                <w:szCs w:val="16"/>
              </w:rPr>
              <w:t>LOW 4</w:t>
            </w:r>
          </w:p>
        </w:tc>
        <w:tc>
          <w:tcPr>
            <w:tcW w:w="1744" w:type="dxa"/>
            <w:tcBorders>
              <w:top w:val="single" w:sz="4" w:space="0" w:color="A6A6A6"/>
              <w:left w:val="single" w:sz="4" w:space="0" w:color="A6A6A6"/>
              <w:bottom w:val="single" w:sz="4" w:space="0" w:color="A6A6A6"/>
              <w:right w:val="single" w:sz="4" w:space="0" w:color="A6A6A6"/>
            </w:tcBorders>
            <w:shd w:val="clear" w:color="auto" w:fill="FDE9D0"/>
            <w:tcMar>
              <w:top w:w="55" w:type="dxa"/>
              <w:left w:w="85" w:type="dxa"/>
              <w:bottom w:w="55" w:type="dxa"/>
              <w:right w:w="85" w:type="dxa"/>
            </w:tcMar>
            <w:vAlign w:val="center"/>
          </w:tcPr>
          <w:p w14:paraId="6192EFAC" w14:textId="77777777" w:rsidR="000E14B0" w:rsidRDefault="00E52302">
            <w:pPr>
              <w:jc w:val="center"/>
            </w:pPr>
            <w:r>
              <w:rPr>
                <w:rFonts w:ascii="Calibri" w:eastAsia="Calibri" w:hAnsi="Calibri" w:cs="Calibri"/>
                <w:b/>
                <w:bCs/>
                <w:color w:val="B26B00"/>
                <w:sz w:val="16"/>
                <w:szCs w:val="16"/>
              </w:rPr>
              <w:t>MED 6</w:t>
            </w:r>
          </w:p>
        </w:tc>
        <w:tc>
          <w:tcPr>
            <w:tcW w:w="1744" w:type="dxa"/>
            <w:tcBorders>
              <w:top w:val="single" w:sz="4" w:space="0" w:color="A6A6A6"/>
              <w:left w:val="single" w:sz="4" w:space="0" w:color="A6A6A6"/>
              <w:bottom w:val="single" w:sz="4" w:space="0" w:color="A6A6A6"/>
              <w:right w:val="single" w:sz="4" w:space="0" w:color="A6A6A6"/>
            </w:tcBorders>
            <w:shd w:val="clear" w:color="auto" w:fill="FDE9D0"/>
            <w:tcMar>
              <w:top w:w="55" w:type="dxa"/>
              <w:left w:w="85" w:type="dxa"/>
              <w:bottom w:w="55" w:type="dxa"/>
              <w:right w:w="85" w:type="dxa"/>
            </w:tcMar>
            <w:vAlign w:val="center"/>
          </w:tcPr>
          <w:p w14:paraId="6192EFAD" w14:textId="77777777" w:rsidR="000E14B0" w:rsidRDefault="00E52302">
            <w:pPr>
              <w:jc w:val="center"/>
            </w:pPr>
            <w:r>
              <w:rPr>
                <w:rFonts w:ascii="Calibri" w:eastAsia="Calibri" w:hAnsi="Calibri" w:cs="Calibri"/>
                <w:b/>
                <w:bCs/>
                <w:color w:val="B26B00"/>
                <w:sz w:val="16"/>
                <w:szCs w:val="16"/>
              </w:rPr>
              <w:t>MED 8</w:t>
            </w:r>
          </w:p>
        </w:tc>
        <w:tc>
          <w:tcPr>
            <w:tcW w:w="1744" w:type="dxa"/>
            <w:tcBorders>
              <w:top w:val="single" w:sz="4" w:space="0" w:color="A6A6A6"/>
              <w:left w:val="single" w:sz="4" w:space="0" w:color="A6A6A6"/>
              <w:bottom w:val="single" w:sz="4" w:space="0" w:color="A6A6A6"/>
              <w:right w:val="single" w:sz="4" w:space="0" w:color="A6A6A6"/>
            </w:tcBorders>
            <w:shd w:val="clear" w:color="auto" w:fill="FAC8B2"/>
            <w:tcMar>
              <w:top w:w="55" w:type="dxa"/>
              <w:left w:w="85" w:type="dxa"/>
              <w:bottom w:w="55" w:type="dxa"/>
              <w:right w:w="85" w:type="dxa"/>
            </w:tcMar>
            <w:vAlign w:val="center"/>
          </w:tcPr>
          <w:p w14:paraId="6192EFAE" w14:textId="77777777" w:rsidR="000E14B0" w:rsidRDefault="00E52302">
            <w:pPr>
              <w:jc w:val="center"/>
            </w:pPr>
            <w:r>
              <w:rPr>
                <w:rFonts w:ascii="Calibri" w:eastAsia="Calibri" w:hAnsi="Calibri" w:cs="Calibri"/>
                <w:b/>
                <w:bCs/>
                <w:color w:val="C55A11"/>
                <w:sz w:val="16"/>
                <w:szCs w:val="16"/>
              </w:rPr>
              <w:t>HIGH 10</w:t>
            </w:r>
          </w:p>
        </w:tc>
      </w:tr>
      <w:tr w:rsidR="000E14B0" w14:paraId="6192EFB6" w14:textId="77777777">
        <w:tblPrEx>
          <w:tblCellMar>
            <w:top w:w="0" w:type="dxa"/>
            <w:bottom w:w="0" w:type="dxa"/>
          </w:tblCellMar>
        </w:tblPrEx>
        <w:tc>
          <w:tcPr>
            <w:tcW w:w="1746" w:type="dxa"/>
            <w:tcBorders>
              <w:top w:val="single" w:sz="4" w:space="0" w:color="A6A6A6"/>
              <w:left w:val="single" w:sz="4" w:space="0" w:color="A6A6A6"/>
              <w:bottom w:val="single" w:sz="4" w:space="0" w:color="A6A6A6"/>
              <w:right w:val="single" w:sz="4" w:space="0" w:color="A6A6A6"/>
            </w:tcBorders>
            <w:shd w:val="clear" w:color="auto" w:fill="F2F4F7"/>
            <w:tcMar>
              <w:top w:w="55" w:type="dxa"/>
              <w:left w:w="85" w:type="dxa"/>
              <w:bottom w:w="55" w:type="dxa"/>
              <w:right w:w="85" w:type="dxa"/>
            </w:tcMar>
            <w:vAlign w:val="center"/>
          </w:tcPr>
          <w:p w14:paraId="6192EFB0" w14:textId="77777777" w:rsidR="000E14B0" w:rsidRDefault="00E52302">
            <w:r>
              <w:rPr>
                <w:rFonts w:ascii="Calibri" w:eastAsia="Calibri" w:hAnsi="Calibri" w:cs="Calibri"/>
                <w:b/>
                <w:bCs/>
                <w:color w:val="2C3849"/>
                <w:sz w:val="16"/>
                <w:szCs w:val="16"/>
              </w:rPr>
              <w:t>Rare (1)</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B1" w14:textId="77777777" w:rsidR="000E14B0" w:rsidRDefault="00E52302">
            <w:pPr>
              <w:jc w:val="center"/>
            </w:pPr>
            <w:r>
              <w:rPr>
                <w:rFonts w:ascii="Calibri" w:eastAsia="Calibri" w:hAnsi="Calibri" w:cs="Calibri"/>
                <w:b/>
                <w:bCs/>
                <w:color w:val="1F4E79"/>
                <w:sz w:val="16"/>
                <w:szCs w:val="16"/>
              </w:rPr>
              <w:t>LOW 1</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B2" w14:textId="77777777" w:rsidR="000E14B0" w:rsidRDefault="00E52302">
            <w:pPr>
              <w:jc w:val="center"/>
            </w:pPr>
            <w:r>
              <w:rPr>
                <w:rFonts w:ascii="Calibri" w:eastAsia="Calibri" w:hAnsi="Calibri" w:cs="Calibri"/>
                <w:b/>
                <w:bCs/>
                <w:color w:val="1F4E79"/>
                <w:sz w:val="16"/>
                <w:szCs w:val="16"/>
              </w:rPr>
              <w:t>LOW 2</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B3" w14:textId="77777777" w:rsidR="000E14B0" w:rsidRDefault="00E52302">
            <w:pPr>
              <w:jc w:val="center"/>
            </w:pPr>
            <w:r>
              <w:rPr>
                <w:rFonts w:ascii="Calibri" w:eastAsia="Calibri" w:hAnsi="Calibri" w:cs="Calibri"/>
                <w:b/>
                <w:bCs/>
                <w:color w:val="1F4E79"/>
                <w:sz w:val="16"/>
                <w:szCs w:val="16"/>
              </w:rPr>
              <w:t>LOW 3</w:t>
            </w:r>
          </w:p>
        </w:tc>
        <w:tc>
          <w:tcPr>
            <w:tcW w:w="1744" w:type="dxa"/>
            <w:tcBorders>
              <w:top w:val="single" w:sz="4" w:space="0" w:color="A6A6A6"/>
              <w:left w:val="single" w:sz="4" w:space="0" w:color="A6A6A6"/>
              <w:bottom w:val="single" w:sz="4" w:space="0" w:color="A6A6A6"/>
              <w:right w:val="single" w:sz="4" w:space="0" w:color="A6A6A6"/>
            </w:tcBorders>
            <w:shd w:val="clear" w:color="auto" w:fill="DEEAF6"/>
            <w:tcMar>
              <w:top w:w="55" w:type="dxa"/>
              <w:left w:w="85" w:type="dxa"/>
              <w:bottom w:w="55" w:type="dxa"/>
              <w:right w:w="85" w:type="dxa"/>
            </w:tcMar>
            <w:vAlign w:val="center"/>
          </w:tcPr>
          <w:p w14:paraId="6192EFB4" w14:textId="77777777" w:rsidR="000E14B0" w:rsidRDefault="00E52302">
            <w:pPr>
              <w:jc w:val="center"/>
            </w:pPr>
            <w:r>
              <w:rPr>
                <w:rFonts w:ascii="Calibri" w:eastAsia="Calibri" w:hAnsi="Calibri" w:cs="Calibri"/>
                <w:b/>
                <w:bCs/>
                <w:color w:val="1F4E79"/>
                <w:sz w:val="16"/>
                <w:szCs w:val="16"/>
              </w:rPr>
              <w:t>LOW 4</w:t>
            </w:r>
          </w:p>
        </w:tc>
        <w:tc>
          <w:tcPr>
            <w:tcW w:w="1744" w:type="dxa"/>
            <w:tcBorders>
              <w:top w:val="single" w:sz="4" w:space="0" w:color="A6A6A6"/>
              <w:left w:val="single" w:sz="4" w:space="0" w:color="A6A6A6"/>
              <w:bottom w:val="single" w:sz="4" w:space="0" w:color="A6A6A6"/>
              <w:right w:val="single" w:sz="4" w:space="0" w:color="A6A6A6"/>
            </w:tcBorders>
            <w:shd w:val="clear" w:color="auto" w:fill="FDE9D0"/>
            <w:tcMar>
              <w:top w:w="55" w:type="dxa"/>
              <w:left w:w="85" w:type="dxa"/>
              <w:bottom w:w="55" w:type="dxa"/>
              <w:right w:w="85" w:type="dxa"/>
            </w:tcMar>
            <w:vAlign w:val="center"/>
          </w:tcPr>
          <w:p w14:paraId="6192EFB5" w14:textId="77777777" w:rsidR="000E14B0" w:rsidRDefault="00E52302">
            <w:pPr>
              <w:jc w:val="center"/>
            </w:pPr>
            <w:r>
              <w:rPr>
                <w:rFonts w:ascii="Calibri" w:eastAsia="Calibri" w:hAnsi="Calibri" w:cs="Calibri"/>
                <w:b/>
                <w:bCs/>
                <w:color w:val="B26B00"/>
                <w:sz w:val="16"/>
                <w:szCs w:val="16"/>
              </w:rPr>
              <w:t>MED 5</w:t>
            </w:r>
          </w:p>
        </w:tc>
      </w:tr>
    </w:tbl>
    <w:p w14:paraId="6192EFB7" w14:textId="77777777" w:rsidR="000E14B0" w:rsidRDefault="00E52302">
      <w:pPr>
        <w:spacing w:before="240" w:after="100"/>
      </w:pPr>
      <w:r>
        <w:rPr>
          <w:rFonts w:ascii="Calibri" w:eastAsia="Calibri" w:hAnsi="Calibri" w:cs="Calibri"/>
          <w:b/>
          <w:bCs/>
          <w:caps/>
          <w:color w:val="162C53"/>
          <w:sz w:val="22"/>
          <w:szCs w:val="22"/>
        </w:rPr>
        <w:t>What the band means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8366"/>
      </w:tblGrid>
      <w:tr w:rsidR="000E14B0" w14:paraId="6192EFBA" w14:textId="77777777">
        <w:tblPrEx>
          <w:tblCellMar>
            <w:top w:w="0" w:type="dxa"/>
            <w:bottom w:w="0" w:type="dxa"/>
          </w:tblCellMar>
        </w:tblPrEx>
        <w:trPr>
          <w:tblHeader/>
        </w:trPr>
        <w:tc>
          <w:tcPr>
            <w:tcW w:w="21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B8" w14:textId="77777777" w:rsidR="000E14B0" w:rsidRDefault="00E52302">
            <w:r>
              <w:rPr>
                <w:rFonts w:ascii="Calibri" w:eastAsia="Calibri" w:hAnsi="Calibri" w:cs="Calibri"/>
                <w:b/>
                <w:bCs/>
                <w:caps/>
                <w:color w:val="FFFFFF"/>
                <w:sz w:val="15"/>
                <w:szCs w:val="15"/>
              </w:rPr>
              <w:t>Band</w:t>
            </w:r>
          </w:p>
        </w:tc>
        <w:tc>
          <w:tcPr>
            <w:tcW w:w="8366"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B9" w14:textId="77777777" w:rsidR="000E14B0" w:rsidRDefault="00E52302">
            <w:r>
              <w:rPr>
                <w:rFonts w:ascii="Calibri" w:eastAsia="Calibri" w:hAnsi="Calibri" w:cs="Calibri"/>
                <w:b/>
                <w:bCs/>
                <w:caps/>
                <w:color w:val="FFFFFF"/>
                <w:sz w:val="15"/>
                <w:szCs w:val="15"/>
              </w:rPr>
              <w:t>What the committee does</w:t>
            </w:r>
          </w:p>
        </w:tc>
      </w:tr>
      <w:tr w:rsidR="000E14B0" w14:paraId="6192EFBD" w14:textId="77777777">
        <w:tblPrEx>
          <w:tblCellMar>
            <w:top w:w="0" w:type="dxa"/>
            <w:bottom w:w="0" w:type="dxa"/>
          </w:tblCellMar>
        </w:tblPrEx>
        <w:tc>
          <w:tcPr>
            <w:tcW w:w="2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BB" w14:textId="77777777" w:rsidR="000E14B0" w:rsidRDefault="00E52302">
            <w:r>
              <w:rPr>
                <w:rFonts w:ascii="Calibri" w:eastAsia="Calibri" w:hAnsi="Calibri" w:cs="Calibri"/>
                <w:b/>
                <w:bCs/>
                <w:color w:val="C00000"/>
                <w:sz w:val="17"/>
                <w:szCs w:val="17"/>
              </w:rPr>
              <w:t>EXTREME  20-25</w:t>
            </w:r>
          </w:p>
        </w:tc>
        <w:tc>
          <w:tcPr>
            <w:tcW w:w="83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BC" w14:textId="77777777" w:rsidR="000E14B0" w:rsidRDefault="00E52302">
            <w:r>
              <w:rPr>
                <w:rFonts w:ascii="Calibri" w:eastAsia="Calibri" w:hAnsi="Calibri" w:cs="Calibri"/>
                <w:color w:val="2C3849"/>
                <w:sz w:val="17"/>
                <w:szCs w:val="17"/>
              </w:rPr>
              <w:t>Now. Do not wait for a meeting. Make safe today, then fix properly.</w:t>
            </w:r>
          </w:p>
        </w:tc>
      </w:tr>
      <w:tr w:rsidR="000E14B0" w14:paraId="6192EFC0" w14:textId="77777777">
        <w:tblPrEx>
          <w:tblCellMar>
            <w:top w:w="0" w:type="dxa"/>
            <w:bottom w:w="0" w:type="dxa"/>
          </w:tblCellMar>
        </w:tblPrEx>
        <w:tc>
          <w:tcPr>
            <w:tcW w:w="2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BE" w14:textId="77777777" w:rsidR="000E14B0" w:rsidRDefault="00E52302">
            <w:r>
              <w:rPr>
                <w:rFonts w:ascii="Calibri" w:eastAsia="Calibri" w:hAnsi="Calibri" w:cs="Calibri"/>
                <w:b/>
                <w:bCs/>
                <w:color w:val="C55A11"/>
                <w:sz w:val="17"/>
                <w:szCs w:val="17"/>
              </w:rPr>
              <w:t>HIGH  10-16</w:t>
            </w:r>
          </w:p>
        </w:tc>
        <w:tc>
          <w:tcPr>
            <w:tcW w:w="83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BF" w14:textId="77777777" w:rsidR="000E14B0" w:rsidRDefault="00E52302">
            <w:r>
              <w:rPr>
                <w:rFonts w:ascii="Calibri" w:eastAsia="Calibri" w:hAnsi="Calibri" w:cs="Calibri"/>
                <w:color w:val="2C3849"/>
                <w:sz w:val="17"/>
                <w:szCs w:val="17"/>
              </w:rPr>
              <w:t>Days to weeks. Put an interim control in place in the meantime.</w:t>
            </w:r>
          </w:p>
        </w:tc>
      </w:tr>
      <w:tr w:rsidR="000E14B0" w14:paraId="6192EFC3" w14:textId="77777777">
        <w:tblPrEx>
          <w:tblCellMar>
            <w:top w:w="0" w:type="dxa"/>
            <w:bottom w:w="0" w:type="dxa"/>
          </w:tblCellMar>
        </w:tblPrEx>
        <w:tc>
          <w:tcPr>
            <w:tcW w:w="2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C1" w14:textId="77777777" w:rsidR="000E14B0" w:rsidRDefault="00E52302">
            <w:r>
              <w:rPr>
                <w:rFonts w:ascii="Calibri" w:eastAsia="Calibri" w:hAnsi="Calibri" w:cs="Calibri"/>
                <w:b/>
                <w:bCs/>
                <w:color w:val="B26B00"/>
                <w:sz w:val="17"/>
                <w:szCs w:val="17"/>
              </w:rPr>
              <w:t>MEDIUM  5-9</w:t>
            </w:r>
          </w:p>
        </w:tc>
        <w:tc>
          <w:tcPr>
            <w:tcW w:w="83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C2" w14:textId="77777777" w:rsidR="000E14B0" w:rsidRDefault="00E52302">
            <w:r>
              <w:rPr>
                <w:rFonts w:ascii="Calibri" w:eastAsia="Calibri" w:hAnsi="Calibri" w:cs="Calibri"/>
                <w:color w:val="2C3849"/>
                <w:sz w:val="17"/>
                <w:szCs w:val="17"/>
              </w:rPr>
              <w:t>Next maintenance cycle or next budget. Give it a date.</w:t>
            </w:r>
          </w:p>
        </w:tc>
      </w:tr>
      <w:tr w:rsidR="000E14B0" w14:paraId="6192EFC6" w14:textId="77777777">
        <w:tblPrEx>
          <w:tblCellMar>
            <w:top w:w="0" w:type="dxa"/>
            <w:bottom w:w="0" w:type="dxa"/>
          </w:tblCellMar>
        </w:tblPrEx>
        <w:tc>
          <w:tcPr>
            <w:tcW w:w="21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C4" w14:textId="77777777" w:rsidR="000E14B0" w:rsidRDefault="00E52302">
            <w:r>
              <w:rPr>
                <w:rFonts w:ascii="Calibri" w:eastAsia="Calibri" w:hAnsi="Calibri" w:cs="Calibri"/>
                <w:b/>
                <w:bCs/>
                <w:color w:val="1F4E79"/>
                <w:sz w:val="17"/>
                <w:szCs w:val="17"/>
              </w:rPr>
              <w:t>LOW  1-4</w:t>
            </w:r>
          </w:p>
        </w:tc>
        <w:tc>
          <w:tcPr>
            <w:tcW w:w="83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C5" w14:textId="77777777" w:rsidR="000E14B0" w:rsidRDefault="00E52302">
            <w:r>
              <w:rPr>
                <w:rFonts w:ascii="Calibri" w:eastAsia="Calibri" w:hAnsi="Calibri" w:cs="Calibri"/>
                <w:color w:val="2C3849"/>
                <w:sz w:val="17"/>
                <w:szCs w:val="17"/>
              </w:rPr>
              <w:t>Note it. Re-check at the next inspection.</w:t>
            </w:r>
          </w:p>
        </w:tc>
      </w:tr>
    </w:tbl>
    <w:p w14:paraId="6192EFC7" w14:textId="77777777" w:rsidR="000E14B0" w:rsidRDefault="00E52302">
      <w:pPr>
        <w:spacing w:before="110" w:after="60"/>
      </w:pPr>
      <w:r>
        <w:rPr>
          <w:rFonts w:ascii="Calibri" w:eastAsia="Calibri" w:hAnsi="Calibri" w:cs="Calibri"/>
          <w:b/>
          <w:bCs/>
          <w:color w:val="2C3849"/>
          <w:sz w:val="18"/>
          <w:szCs w:val="18"/>
        </w:rPr>
        <w:t>The rating sets the timeframe. It does not set whether you act. Nothing sits without an owner and a date.</w:t>
      </w:r>
    </w:p>
    <w:p w14:paraId="6192EFC8" w14:textId="77777777" w:rsidR="000E14B0" w:rsidRDefault="00E52302">
      <w:pPr>
        <w:spacing w:before="200" w:after="100"/>
      </w:pPr>
      <w:r>
        <w:rPr>
          <w:rFonts w:ascii="Calibri" w:eastAsia="Calibri" w:hAnsi="Calibri" w:cs="Calibri"/>
          <w:b/>
          <w:bCs/>
          <w:caps/>
          <w:color w:val="162C53"/>
          <w:sz w:val="22"/>
          <w:szCs w:val="22"/>
        </w:rPr>
        <w:t>Then decide what to do about it</w:t>
      </w:r>
    </w:p>
    <w:p w14:paraId="6192EFC9" w14:textId="77777777" w:rsidR="000E14B0" w:rsidRDefault="00E52302">
      <w:pPr>
        <w:spacing w:after="100"/>
      </w:pPr>
      <w:r>
        <w:rPr>
          <w:rFonts w:ascii="Calibri" w:eastAsia="Calibri" w:hAnsi="Calibri" w:cs="Calibri"/>
          <w:b/>
          <w:bCs/>
          <w:color w:val="2C3849"/>
          <w:sz w:val="18"/>
          <w:szCs w:val="18"/>
        </w:rPr>
        <w:t xml:space="preserve">The first two are not a management convention. </w:t>
      </w:r>
      <w:r>
        <w:rPr>
          <w:rFonts w:ascii="Calibri" w:eastAsia="Calibri" w:hAnsi="Calibri" w:cs="Calibri"/>
          <w:color w:val="2C3849"/>
          <w:sz w:val="18"/>
          <w:szCs w:val="18"/>
        </w:rPr>
        <w:t xml:space="preserve">Section 20(1) of the OHS Act says eliminate the </w:t>
      </w:r>
      <w:proofErr w:type="gramStart"/>
      <w:r>
        <w:rPr>
          <w:rFonts w:ascii="Calibri" w:eastAsia="Calibri" w:hAnsi="Calibri" w:cs="Calibri"/>
          <w:color w:val="2C3849"/>
          <w:sz w:val="18"/>
          <w:szCs w:val="18"/>
        </w:rPr>
        <w:t>risk, and</w:t>
      </w:r>
      <w:proofErr w:type="gramEnd"/>
      <w:r>
        <w:rPr>
          <w:rFonts w:ascii="Calibri" w:eastAsia="Calibri" w:hAnsi="Calibri" w:cs="Calibri"/>
          <w:color w:val="2C3849"/>
          <w:sz w:val="18"/>
          <w:szCs w:val="18"/>
        </w:rPr>
        <w:t xml:space="preserve"> reduce it only if eliminating it is not reasonably practicable. In that order. Transfer and accept are what you do with what is left.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200"/>
        <w:gridCol w:w="5066"/>
      </w:tblGrid>
      <w:tr w:rsidR="000E14B0" w14:paraId="6192EFCD" w14:textId="77777777">
        <w:tblPrEx>
          <w:tblCellMar>
            <w:top w:w="0" w:type="dxa"/>
            <w:bottom w:w="0" w:type="dxa"/>
          </w:tblCellMar>
        </w:tblPrEx>
        <w:trPr>
          <w:tblHeader/>
        </w:trPr>
        <w:tc>
          <w:tcPr>
            <w:tcW w:w="22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CA" w14:textId="77777777" w:rsidR="000E14B0" w:rsidRDefault="00E52302">
            <w:r>
              <w:rPr>
                <w:rFonts w:ascii="Calibri" w:eastAsia="Calibri" w:hAnsi="Calibri" w:cs="Calibri"/>
                <w:b/>
                <w:bCs/>
                <w:caps/>
                <w:color w:val="FFFFFF"/>
                <w:sz w:val="15"/>
                <w:szCs w:val="15"/>
              </w:rPr>
              <w:t>Decision</w:t>
            </w:r>
          </w:p>
        </w:tc>
        <w:tc>
          <w:tcPr>
            <w:tcW w:w="3200"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CB" w14:textId="77777777" w:rsidR="000E14B0" w:rsidRDefault="00E52302">
            <w:r>
              <w:rPr>
                <w:rFonts w:ascii="Calibri" w:eastAsia="Calibri" w:hAnsi="Calibri" w:cs="Calibri"/>
                <w:b/>
                <w:bCs/>
                <w:caps/>
                <w:color w:val="FFFFFF"/>
                <w:sz w:val="15"/>
                <w:szCs w:val="15"/>
              </w:rPr>
              <w:t>What it means</w:t>
            </w:r>
          </w:p>
        </w:tc>
        <w:tc>
          <w:tcPr>
            <w:tcW w:w="5066" w:type="dxa"/>
            <w:tcBorders>
              <w:top w:val="single" w:sz="4" w:space="0" w:color="A6A6A6"/>
              <w:left w:val="single" w:sz="4" w:space="0" w:color="A6A6A6"/>
              <w:bottom w:val="single" w:sz="4" w:space="0" w:color="A6A6A6"/>
              <w:right w:val="single" w:sz="4" w:space="0" w:color="A6A6A6"/>
            </w:tcBorders>
            <w:shd w:val="clear" w:color="auto" w:fill="162C53"/>
            <w:tcMar>
              <w:top w:w="55" w:type="dxa"/>
              <w:left w:w="85" w:type="dxa"/>
              <w:bottom w:w="55" w:type="dxa"/>
              <w:right w:w="85" w:type="dxa"/>
            </w:tcMar>
            <w:vAlign w:val="center"/>
          </w:tcPr>
          <w:p w14:paraId="6192EFCC" w14:textId="77777777" w:rsidR="000E14B0" w:rsidRDefault="00E52302">
            <w:r>
              <w:rPr>
                <w:rFonts w:ascii="Calibri" w:eastAsia="Calibri" w:hAnsi="Calibri" w:cs="Calibri"/>
                <w:b/>
                <w:bCs/>
                <w:caps/>
                <w:color w:val="FFFFFF"/>
                <w:sz w:val="15"/>
                <w:szCs w:val="15"/>
              </w:rPr>
              <w:t>In a strata building</w:t>
            </w:r>
          </w:p>
        </w:tc>
      </w:tr>
      <w:tr w:rsidR="000E14B0" w14:paraId="6192EFD1" w14:textId="77777777">
        <w:tblPrEx>
          <w:tblCellMar>
            <w:top w:w="0" w:type="dxa"/>
            <w:bottom w:w="0" w:type="dxa"/>
          </w:tblCellMar>
        </w:tblPrEx>
        <w:tc>
          <w:tcPr>
            <w:tcW w:w="2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CE" w14:textId="77777777" w:rsidR="000E14B0" w:rsidRDefault="00E52302">
            <w:r>
              <w:rPr>
                <w:rFonts w:ascii="Calibri" w:eastAsia="Calibri" w:hAnsi="Calibri" w:cs="Calibri"/>
                <w:b/>
                <w:bCs/>
                <w:color w:val="162C53"/>
                <w:sz w:val="17"/>
                <w:szCs w:val="17"/>
              </w:rPr>
              <w:t>AVOID</w:t>
            </w:r>
          </w:p>
        </w:tc>
        <w:tc>
          <w:tcPr>
            <w:tcW w:w="3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CF" w14:textId="77777777" w:rsidR="000E14B0" w:rsidRDefault="00E52302">
            <w:r>
              <w:rPr>
                <w:rFonts w:ascii="Calibri" w:eastAsia="Calibri" w:hAnsi="Calibri" w:cs="Calibri"/>
                <w:b/>
                <w:bCs/>
                <w:color w:val="2C3849"/>
                <w:sz w:val="16"/>
                <w:szCs w:val="16"/>
              </w:rPr>
              <w:t>Remove the hazard entirely</w:t>
            </w:r>
          </w:p>
        </w:tc>
        <w:tc>
          <w:tcPr>
            <w:tcW w:w="50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0" w14:textId="77777777" w:rsidR="000E14B0" w:rsidRDefault="00E52302">
            <w:r>
              <w:rPr>
                <w:rFonts w:ascii="Calibri" w:eastAsia="Calibri" w:hAnsi="Calibri" w:cs="Calibri"/>
                <w:color w:val="2C3849"/>
                <w:sz w:val="16"/>
                <w:szCs w:val="16"/>
              </w:rPr>
              <w:t>Take the storage out of the stairwell. Stop using the roof until the anchors are certified.</w:t>
            </w:r>
          </w:p>
        </w:tc>
      </w:tr>
      <w:tr w:rsidR="000E14B0" w14:paraId="6192EFD5" w14:textId="77777777">
        <w:tblPrEx>
          <w:tblCellMar>
            <w:top w:w="0" w:type="dxa"/>
            <w:bottom w:w="0" w:type="dxa"/>
          </w:tblCellMar>
        </w:tblPrEx>
        <w:tc>
          <w:tcPr>
            <w:tcW w:w="2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2" w14:textId="77777777" w:rsidR="000E14B0" w:rsidRDefault="00E52302">
            <w:r>
              <w:rPr>
                <w:rFonts w:ascii="Calibri" w:eastAsia="Calibri" w:hAnsi="Calibri" w:cs="Calibri"/>
                <w:b/>
                <w:bCs/>
                <w:color w:val="162C53"/>
                <w:sz w:val="17"/>
                <w:szCs w:val="17"/>
              </w:rPr>
              <w:t>REDUCE</w:t>
            </w:r>
          </w:p>
        </w:tc>
        <w:tc>
          <w:tcPr>
            <w:tcW w:w="3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3" w14:textId="77777777" w:rsidR="000E14B0" w:rsidRDefault="00E52302">
            <w:r>
              <w:rPr>
                <w:rFonts w:ascii="Calibri" w:eastAsia="Calibri" w:hAnsi="Calibri" w:cs="Calibri"/>
                <w:b/>
                <w:bCs/>
                <w:color w:val="2C3849"/>
                <w:sz w:val="16"/>
                <w:szCs w:val="16"/>
              </w:rPr>
              <w:t>Make it less likely, or less severe</w:t>
            </w:r>
          </w:p>
        </w:tc>
        <w:tc>
          <w:tcPr>
            <w:tcW w:w="50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4" w14:textId="77777777" w:rsidR="000E14B0" w:rsidRDefault="00E52302">
            <w:r>
              <w:rPr>
                <w:rFonts w:ascii="Calibri" w:eastAsia="Calibri" w:hAnsi="Calibri" w:cs="Calibri"/>
                <w:color w:val="2C3849"/>
                <w:sz w:val="16"/>
                <w:szCs w:val="16"/>
              </w:rPr>
              <w:t xml:space="preserve">Replace the tile. Rebuild the barrier. Relocate the </w:t>
            </w:r>
            <w:proofErr w:type="spellStart"/>
            <w:r>
              <w:rPr>
                <w:rFonts w:ascii="Calibri" w:eastAsia="Calibri" w:hAnsi="Calibri" w:cs="Calibri"/>
                <w:color w:val="2C3849"/>
                <w:sz w:val="16"/>
                <w:szCs w:val="16"/>
              </w:rPr>
              <w:t>keysafe</w:t>
            </w:r>
            <w:proofErr w:type="spellEnd"/>
            <w:r>
              <w:rPr>
                <w:rFonts w:ascii="Calibri" w:eastAsia="Calibri" w:hAnsi="Calibri" w:cs="Calibri"/>
                <w:color w:val="2C3849"/>
                <w:sz w:val="16"/>
                <w:szCs w:val="16"/>
              </w:rPr>
              <w:t>.</w:t>
            </w:r>
          </w:p>
        </w:tc>
      </w:tr>
      <w:tr w:rsidR="000E14B0" w14:paraId="6192EFD9" w14:textId="77777777">
        <w:tblPrEx>
          <w:tblCellMar>
            <w:top w:w="0" w:type="dxa"/>
            <w:bottom w:w="0" w:type="dxa"/>
          </w:tblCellMar>
        </w:tblPrEx>
        <w:tc>
          <w:tcPr>
            <w:tcW w:w="2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6" w14:textId="77777777" w:rsidR="000E14B0" w:rsidRDefault="00E52302">
            <w:r>
              <w:rPr>
                <w:rFonts w:ascii="Calibri" w:eastAsia="Calibri" w:hAnsi="Calibri" w:cs="Calibri"/>
                <w:b/>
                <w:bCs/>
                <w:color w:val="162C53"/>
                <w:sz w:val="17"/>
                <w:szCs w:val="17"/>
              </w:rPr>
              <w:t>TRANSFER</w:t>
            </w:r>
          </w:p>
        </w:tc>
        <w:tc>
          <w:tcPr>
            <w:tcW w:w="3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7" w14:textId="77777777" w:rsidR="000E14B0" w:rsidRDefault="00E52302">
            <w:r>
              <w:rPr>
                <w:rFonts w:ascii="Calibri" w:eastAsia="Calibri" w:hAnsi="Calibri" w:cs="Calibri"/>
                <w:b/>
                <w:bCs/>
                <w:color w:val="2C3849"/>
                <w:sz w:val="16"/>
                <w:szCs w:val="16"/>
              </w:rPr>
              <w:t>Move the risk to someone else</w:t>
            </w:r>
          </w:p>
        </w:tc>
        <w:tc>
          <w:tcPr>
            <w:tcW w:w="50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8" w14:textId="77777777" w:rsidR="000E14B0" w:rsidRDefault="00E52302">
            <w:r>
              <w:rPr>
                <w:rFonts w:ascii="Calibri" w:eastAsia="Calibri" w:hAnsi="Calibri" w:cs="Calibri"/>
                <w:color w:val="2C3849"/>
                <w:sz w:val="16"/>
                <w:szCs w:val="16"/>
              </w:rPr>
              <w:t>Insurance. Or a contract that puts the work on someone qualified and insured to do it.</w:t>
            </w:r>
          </w:p>
        </w:tc>
      </w:tr>
      <w:tr w:rsidR="000E14B0" w14:paraId="6192EFDD" w14:textId="77777777">
        <w:tblPrEx>
          <w:tblCellMar>
            <w:top w:w="0" w:type="dxa"/>
            <w:bottom w:w="0" w:type="dxa"/>
          </w:tblCellMar>
        </w:tblPrEx>
        <w:tc>
          <w:tcPr>
            <w:tcW w:w="2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A" w14:textId="77777777" w:rsidR="000E14B0" w:rsidRDefault="00E52302">
            <w:r>
              <w:rPr>
                <w:rFonts w:ascii="Calibri" w:eastAsia="Calibri" w:hAnsi="Calibri" w:cs="Calibri"/>
                <w:b/>
                <w:bCs/>
                <w:color w:val="162C53"/>
                <w:sz w:val="17"/>
                <w:szCs w:val="17"/>
              </w:rPr>
              <w:t>ACCEPT</w:t>
            </w:r>
          </w:p>
        </w:tc>
        <w:tc>
          <w:tcPr>
            <w:tcW w:w="3200"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B" w14:textId="77777777" w:rsidR="000E14B0" w:rsidRDefault="00E52302">
            <w:r>
              <w:rPr>
                <w:rFonts w:ascii="Calibri" w:eastAsia="Calibri" w:hAnsi="Calibri" w:cs="Calibri"/>
                <w:b/>
                <w:bCs/>
                <w:color w:val="2C3849"/>
                <w:sz w:val="16"/>
                <w:szCs w:val="16"/>
              </w:rPr>
              <w:t>Decide to live with it, on the record</w:t>
            </w:r>
          </w:p>
        </w:tc>
        <w:tc>
          <w:tcPr>
            <w:tcW w:w="5066" w:type="dxa"/>
            <w:tcBorders>
              <w:top w:val="single" w:sz="4" w:space="0" w:color="A6A6A6"/>
              <w:left w:val="single" w:sz="4" w:space="0" w:color="A6A6A6"/>
              <w:bottom w:val="single" w:sz="4" w:space="0" w:color="A6A6A6"/>
              <w:right w:val="single" w:sz="4" w:space="0" w:color="A6A6A6"/>
            </w:tcBorders>
            <w:tcMar>
              <w:top w:w="55" w:type="dxa"/>
              <w:left w:w="85" w:type="dxa"/>
              <w:bottom w:w="55" w:type="dxa"/>
              <w:right w:w="85" w:type="dxa"/>
            </w:tcMar>
            <w:vAlign w:val="center"/>
          </w:tcPr>
          <w:p w14:paraId="6192EFDC" w14:textId="77777777" w:rsidR="000E14B0" w:rsidRDefault="00E52302">
            <w:r>
              <w:rPr>
                <w:rFonts w:ascii="Calibri" w:eastAsia="Calibri" w:hAnsi="Calibri" w:cs="Calibri"/>
                <w:color w:val="2C3849"/>
                <w:sz w:val="16"/>
                <w:szCs w:val="16"/>
              </w:rPr>
              <w:t>Only ever for a Low, with a rating, a reason and a review date in the minutes.</w:t>
            </w:r>
          </w:p>
        </w:tc>
      </w:tr>
    </w:tbl>
    <w:p w14:paraId="6192EFDE" w14:textId="77777777" w:rsidR="000E14B0" w:rsidRDefault="00E52302">
      <w:pPr>
        <w:spacing w:before="110" w:after="80"/>
      </w:pPr>
      <w:r>
        <w:rPr>
          <w:rFonts w:ascii="Calibri" w:eastAsia="Calibri" w:hAnsi="Calibri" w:cs="Calibri"/>
          <w:b/>
          <w:bCs/>
          <w:color w:val="2C3849"/>
          <w:sz w:val="18"/>
          <w:szCs w:val="18"/>
        </w:rPr>
        <w:t xml:space="preserve">If you choose REDUCE, there is an order: </w:t>
      </w:r>
      <w:r>
        <w:rPr>
          <w:rFonts w:ascii="Calibri" w:eastAsia="Calibri" w:hAnsi="Calibri" w:cs="Calibri"/>
          <w:color w:val="2C3849"/>
          <w:sz w:val="18"/>
          <w:szCs w:val="18"/>
        </w:rPr>
        <w:t>remove it, replace it, put something physical in the way, change what people do, and only then rely on signs and protective equipment. Each step relies less on people behaving correctly than the one after it.</w:t>
      </w:r>
    </w:p>
    <w:p w14:paraId="6192EFDF" w14:textId="77777777" w:rsidR="000E14B0" w:rsidRDefault="00E52302">
      <w:pPr>
        <w:spacing w:after="80"/>
      </w:pPr>
      <w:r>
        <w:rPr>
          <w:rFonts w:ascii="Calibri" w:eastAsia="Calibri" w:hAnsi="Calibri" w:cs="Calibri"/>
          <w:b/>
          <w:bCs/>
          <w:color w:val="2C3849"/>
          <w:sz w:val="18"/>
          <w:szCs w:val="18"/>
        </w:rPr>
        <w:t xml:space="preserve">Transfer and accept only count if they are recorded decisions. </w:t>
      </w:r>
      <w:r>
        <w:rPr>
          <w:rFonts w:ascii="Calibri" w:eastAsia="Calibri" w:hAnsi="Calibri" w:cs="Calibri"/>
          <w:color w:val="2C3849"/>
          <w:sz w:val="18"/>
          <w:szCs w:val="18"/>
        </w:rPr>
        <w:t>Insurance does not respond well to a hazard you knew about and ignored, and accepting a risk you never rated is not acceptance. It is neglect. A warning sign over a known hazard is evidence you knew. It is not evidence you acted.</w:t>
      </w:r>
    </w:p>
    <w:p w14:paraId="6192EFE0" w14:textId="77777777" w:rsidR="000E14B0" w:rsidRDefault="00E52302">
      <w:pPr>
        <w:spacing w:after="80"/>
      </w:pPr>
      <w:r>
        <w:rPr>
          <w:rFonts w:ascii="Calibri" w:eastAsia="Calibri" w:hAnsi="Calibri" w:cs="Calibri"/>
          <w:color w:val="2C3849"/>
          <w:sz w:val="18"/>
          <w:szCs w:val="18"/>
        </w:rPr>
        <w:t>Then re-rate. Every closed item gets a residual rating and a closed date. A register with no closed column is a list of complaints, not a management system.</w:t>
      </w:r>
    </w:p>
    <w:p w14:paraId="6192EFE1" w14:textId="77777777" w:rsidR="000E14B0" w:rsidRDefault="00E52302">
      <w:r>
        <w:br w:type="page"/>
      </w:r>
    </w:p>
    <w:p w14:paraId="6192EFE2" w14:textId="77777777" w:rsidR="000E14B0" w:rsidRDefault="00E52302">
      <w:pPr>
        <w:spacing w:after="100"/>
      </w:pPr>
      <w:r>
        <w:rPr>
          <w:rFonts w:ascii="Calibri" w:eastAsia="Calibri" w:hAnsi="Calibri" w:cs="Calibri"/>
          <w:b/>
          <w:bCs/>
          <w:color w:val="162C53"/>
          <w:sz w:val="30"/>
          <w:szCs w:val="30"/>
        </w:rPr>
        <w:lastRenderedPageBreak/>
        <w:t>Walk-around checklist</w:t>
      </w:r>
    </w:p>
    <w:p w14:paraId="6192EFE3" w14:textId="77777777" w:rsidR="000E14B0" w:rsidRDefault="00E52302">
      <w:pPr>
        <w:spacing w:after="180"/>
      </w:pPr>
      <w:r>
        <w:rPr>
          <w:rFonts w:ascii="Calibri" w:eastAsia="Calibri" w:hAnsi="Calibri" w:cs="Calibri"/>
          <w:color w:val="666666"/>
          <w:sz w:val="18"/>
          <w:szCs w:val="18"/>
        </w:rPr>
        <w:t>A prompt list, not a compliance audit. Take photographs. Date everything. Record what you looked at and found nothing wrong with, not just what you found.</w:t>
      </w:r>
    </w:p>
    <w:p w14:paraId="6192EFE4" w14:textId="77777777" w:rsidR="000E14B0" w:rsidRDefault="00E52302">
      <w:pPr>
        <w:spacing w:before="180" w:after="100"/>
      </w:pPr>
      <w:r>
        <w:rPr>
          <w:rFonts w:ascii="Calibri" w:eastAsia="Calibri" w:hAnsi="Calibri" w:cs="Calibri"/>
          <w:b/>
          <w:bCs/>
          <w:caps/>
          <w:color w:val="162C53"/>
          <w:sz w:val="22"/>
          <w:szCs w:val="22"/>
        </w:rPr>
        <w:t>Access and egress</w:t>
      </w:r>
    </w:p>
    <w:p w14:paraId="6192EFE5"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Paths of travel to exits clear of storage, bikes, prams, rubbish</w:t>
      </w:r>
    </w:p>
    <w:p w14:paraId="6192EFE6"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Fire-isolated stairwells free of stored items and combustibles</w:t>
      </w:r>
    </w:p>
    <w:p w14:paraId="6192EFE7"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Exit doors open, unlocked, not propped, latching correctly</w:t>
      </w:r>
    </w:p>
    <w:p w14:paraId="6192EFE8"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Exit signs and emergency lights illuminated</w:t>
      </w:r>
    </w:p>
    <w:p w14:paraId="6192EFE9"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Floor surfaces even. No lifted tiles, broken pavers, trip edges</w:t>
      </w:r>
    </w:p>
    <w:p w14:paraId="6192EFEA"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Handrails and balustrades secure, continuous, at height</w:t>
      </w:r>
    </w:p>
    <w:p w14:paraId="6192EFEB"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Lighting adequate in stairwells, corridors, car parks, bin areas</w:t>
      </w:r>
    </w:p>
    <w:p w14:paraId="6192EFEC" w14:textId="77777777" w:rsidR="000E14B0" w:rsidRDefault="00E52302">
      <w:pPr>
        <w:spacing w:before="180" w:after="100"/>
      </w:pPr>
      <w:r>
        <w:rPr>
          <w:rFonts w:ascii="Calibri" w:eastAsia="Calibri" w:hAnsi="Calibri" w:cs="Calibri"/>
          <w:b/>
          <w:bCs/>
          <w:caps/>
          <w:color w:val="162C53"/>
          <w:sz w:val="22"/>
          <w:szCs w:val="22"/>
        </w:rPr>
        <w:t>Fire systems (visual only)</w:t>
      </w:r>
    </w:p>
    <w:p w14:paraId="6192EFED"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Fire indicator panel showing normal. No faults, no isolations</w:t>
      </w:r>
    </w:p>
    <w:p w14:paraId="6192EFEE"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Hydrants, landing valves and hose reels accessible and unobstructed</w:t>
      </w:r>
    </w:p>
    <w:p w14:paraId="6192EFEF"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Nothing padlocked, chained or hung on a hydrant valve or booster</w:t>
      </w:r>
    </w:p>
    <w:p w14:paraId="6192EFF0"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Booster assembly clear and accessible from the street</w:t>
      </w:r>
    </w:p>
    <w:p w14:paraId="6192EFF1"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Extinguishers in place, in date, not blocked</w:t>
      </w:r>
    </w:p>
    <w:p w14:paraId="6192EFF2"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Fire doors closing and latching. Not wedged, not damaged</w:t>
      </w:r>
    </w:p>
    <w:p w14:paraId="6192EFF3"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Evacuation diagrams present, current, correctly located</w:t>
      </w:r>
    </w:p>
    <w:p w14:paraId="6192EFF4" w14:textId="77777777" w:rsidR="000E14B0" w:rsidRDefault="00E52302">
      <w:pPr>
        <w:spacing w:before="180" w:after="100"/>
      </w:pPr>
      <w:r>
        <w:rPr>
          <w:rFonts w:ascii="Calibri" w:eastAsia="Calibri" w:hAnsi="Calibri" w:cs="Calibri"/>
          <w:b/>
          <w:bCs/>
          <w:caps/>
          <w:color w:val="162C53"/>
          <w:sz w:val="22"/>
          <w:szCs w:val="22"/>
        </w:rPr>
        <w:t>Contractor and worker safety</w:t>
      </w:r>
    </w:p>
    <w:p w14:paraId="6192EFF5"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Roof access secure. Anchors tagged and in current certification</w:t>
      </w:r>
    </w:p>
    <w:p w14:paraId="6192EFF6"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Barriers at level changes suitable for people, not just vehicles</w:t>
      </w:r>
    </w:p>
    <w:p w14:paraId="6192EFF7"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Plant, pump and tank rooms secured and signed</w:t>
      </w:r>
    </w:p>
    <w:p w14:paraId="6192EFF8"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Asbestos register available where asbestos is identified, presumed, or likely in an area that cannot be accessed</w:t>
      </w:r>
    </w:p>
    <w:p w14:paraId="6192EFF9"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Where material is presumed rather than tested, the committee has been told what that presumption means</w:t>
      </w:r>
    </w:p>
    <w:p w14:paraId="6192EFFA"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Contractors have somewhere to report hazards, and it is recorded</w:t>
      </w:r>
    </w:p>
    <w:p w14:paraId="6192EFFB"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Lone workers after hours have a check-in arrangement</w:t>
      </w:r>
    </w:p>
    <w:p w14:paraId="6192EFFC" w14:textId="77777777" w:rsidR="000E14B0" w:rsidRDefault="00E52302">
      <w:pPr>
        <w:spacing w:before="180" w:after="100"/>
      </w:pPr>
      <w:r>
        <w:rPr>
          <w:rFonts w:ascii="Calibri" w:eastAsia="Calibri" w:hAnsi="Calibri" w:cs="Calibri"/>
          <w:b/>
          <w:bCs/>
          <w:caps/>
          <w:color w:val="162C53"/>
          <w:sz w:val="22"/>
          <w:szCs w:val="22"/>
        </w:rPr>
        <w:t>Building fabric and services</w:t>
      </w:r>
    </w:p>
    <w:p w14:paraId="6192EFFD"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Soffits, ceilings and eaves free of sagging or water damage</w:t>
      </w:r>
    </w:p>
    <w:p w14:paraId="6192EFFE"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Gutters and drainage clear. No discharge across walkways</w:t>
      </w:r>
    </w:p>
    <w:p w14:paraId="6192EFFF"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Switchboards, substations and meter rooms secure, dry, unobstructed and reachable after hours</w:t>
      </w:r>
    </w:p>
    <w:p w14:paraId="6192F000"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Car park bollards, wheel stops and line marking intact</w:t>
      </w:r>
    </w:p>
    <w:p w14:paraId="6192F001"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Pool or spa barriers intact, self-closing, latching</w:t>
      </w:r>
    </w:p>
    <w:p w14:paraId="6192F002"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Bin rooms and waste areas clean and accessible</w:t>
      </w:r>
    </w:p>
    <w:p w14:paraId="6192F003" w14:textId="77777777" w:rsidR="000E14B0" w:rsidRDefault="00E52302">
      <w:pPr>
        <w:spacing w:before="180" w:after="100"/>
      </w:pPr>
      <w:r>
        <w:rPr>
          <w:rFonts w:ascii="Calibri" w:eastAsia="Calibri" w:hAnsi="Calibri" w:cs="Calibri"/>
          <w:b/>
          <w:bCs/>
          <w:caps/>
          <w:color w:val="162C53"/>
          <w:sz w:val="22"/>
          <w:szCs w:val="22"/>
        </w:rPr>
        <w:t>Signals that something else is going on</w:t>
      </w:r>
    </w:p>
    <w:p w14:paraId="6192F004"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Graffiti, damage or rubbish suggesting uncontrolled access</w:t>
      </w:r>
    </w:p>
    <w:p w14:paraId="6192F005"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Evidence of people reaching roofs, balconies or plant areas</w:t>
      </w:r>
    </w:p>
    <w:p w14:paraId="6192F006" w14:textId="77777777" w:rsidR="000E14B0" w:rsidRDefault="00E52302">
      <w:pPr>
        <w:spacing w:after="68"/>
        <w:ind w:left="120"/>
      </w:pPr>
      <w:r>
        <w:rPr>
          <w:rFonts w:ascii="Calibri" w:eastAsia="Calibri" w:hAnsi="Calibri" w:cs="Calibri"/>
          <w:color w:val="162C53"/>
        </w:rPr>
        <w:t xml:space="preserve">□   </w:t>
      </w:r>
      <w:r>
        <w:rPr>
          <w:rFonts w:ascii="Calibri" w:eastAsia="Calibri" w:hAnsi="Calibri" w:cs="Calibri"/>
          <w:color w:val="2C3849"/>
          <w:sz w:val="18"/>
          <w:szCs w:val="18"/>
        </w:rPr>
        <w:t>Areas residents avoid after dark</w:t>
      </w:r>
    </w:p>
    <w:p w14:paraId="6192F007" w14:textId="272E9326" w:rsidR="000E14B0" w:rsidRDefault="000E14B0"/>
    <w:sectPr w:rsidR="000E14B0">
      <w:footerReference w:type="default" r:id="rId8"/>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9E3A" w14:textId="77777777" w:rsidR="00E52302" w:rsidRDefault="00E52302">
      <w:r>
        <w:separator/>
      </w:r>
    </w:p>
  </w:endnote>
  <w:endnote w:type="continuationSeparator" w:id="0">
    <w:p w14:paraId="7D5FC703" w14:textId="77777777" w:rsidR="00E52302" w:rsidRDefault="00E5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F036" w14:textId="77777777" w:rsidR="000E14B0" w:rsidRDefault="00E52302">
    <w:pPr>
      <w:jc w:val="center"/>
    </w:pPr>
    <w:r>
      <w:rPr>
        <w:rFonts w:ascii="Calibri" w:eastAsia="Calibri" w:hAnsi="Calibri" w:cs="Calibri"/>
        <w:color w:val="666666"/>
        <w:sz w:val="14"/>
        <w:szCs w:val="14"/>
      </w:rPr>
      <w:t xml:space="preserve">Building hazard </w:t>
    </w:r>
    <w:proofErr w:type="gramStart"/>
    <w:r>
      <w:rPr>
        <w:rFonts w:ascii="Calibri" w:eastAsia="Calibri" w:hAnsi="Calibri" w:cs="Calibri"/>
        <w:color w:val="666666"/>
        <w:sz w:val="14"/>
        <w:szCs w:val="14"/>
      </w:rPr>
      <w:t>toolkit  ·</w:t>
    </w:r>
    <w:proofErr w:type="gramEnd"/>
    <w:r>
      <w:rPr>
        <w:rFonts w:ascii="Calibri" w:eastAsia="Calibri" w:hAnsi="Calibri" w:cs="Calibri"/>
        <w:color w:val="666666"/>
        <w:sz w:val="14"/>
        <w:szCs w:val="14"/>
      </w:rPr>
      <w:t xml:space="preserve">  Focus Building Risk &amp; </w:t>
    </w:r>
    <w:proofErr w:type="gramStart"/>
    <w:r>
      <w:rPr>
        <w:rFonts w:ascii="Calibri" w:eastAsia="Calibri" w:hAnsi="Calibri" w:cs="Calibri"/>
        <w:color w:val="666666"/>
        <w:sz w:val="14"/>
        <w:szCs w:val="14"/>
      </w:rPr>
      <w:t>Compliance  ·</w:t>
    </w:r>
    <w:proofErr w:type="gramEnd"/>
    <w:r>
      <w:rPr>
        <w:rFonts w:ascii="Calibri" w:eastAsia="Calibri" w:hAnsi="Calibri" w:cs="Calibri"/>
        <w:color w:val="666666"/>
        <w:sz w:val="14"/>
        <w:szCs w:val="14"/>
      </w:rPr>
      <w:t xml:space="preserve">  focusbrc.com.au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F037" w14:textId="77777777" w:rsidR="000E14B0" w:rsidRDefault="00E52302">
    <w:pPr>
      <w:jc w:val="center"/>
    </w:pPr>
    <w:r>
      <w:rPr>
        <w:rFonts w:ascii="Calibri" w:eastAsia="Calibri" w:hAnsi="Calibri" w:cs="Calibri"/>
        <w:color w:val="666666"/>
        <w:sz w:val="14"/>
        <w:szCs w:val="14"/>
      </w:rPr>
      <w:t xml:space="preserve">Building hazard </w:t>
    </w:r>
    <w:proofErr w:type="gramStart"/>
    <w:r>
      <w:rPr>
        <w:rFonts w:ascii="Calibri" w:eastAsia="Calibri" w:hAnsi="Calibri" w:cs="Calibri"/>
        <w:color w:val="666666"/>
        <w:sz w:val="14"/>
        <w:szCs w:val="14"/>
      </w:rPr>
      <w:t>toolkit  ·</w:t>
    </w:r>
    <w:proofErr w:type="gramEnd"/>
    <w:r>
      <w:rPr>
        <w:rFonts w:ascii="Calibri" w:eastAsia="Calibri" w:hAnsi="Calibri" w:cs="Calibri"/>
        <w:color w:val="666666"/>
        <w:sz w:val="14"/>
        <w:szCs w:val="14"/>
      </w:rPr>
      <w:t xml:space="preserve">  Focus Building Risk &amp; </w:t>
    </w:r>
    <w:proofErr w:type="gramStart"/>
    <w:r>
      <w:rPr>
        <w:rFonts w:ascii="Calibri" w:eastAsia="Calibri" w:hAnsi="Calibri" w:cs="Calibri"/>
        <w:color w:val="666666"/>
        <w:sz w:val="14"/>
        <w:szCs w:val="14"/>
      </w:rPr>
      <w:t>Compliance  ·</w:t>
    </w:r>
    <w:proofErr w:type="gramEnd"/>
    <w:r>
      <w:rPr>
        <w:rFonts w:ascii="Calibri" w:eastAsia="Calibri" w:hAnsi="Calibri" w:cs="Calibri"/>
        <w:color w:val="666666"/>
        <w:sz w:val="14"/>
        <w:szCs w:val="14"/>
      </w:rPr>
      <w:t xml:space="preserve">  focusbrc.com.au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D66AE" w14:textId="77777777" w:rsidR="00E52302" w:rsidRDefault="00E52302">
      <w:r>
        <w:separator/>
      </w:r>
    </w:p>
  </w:footnote>
  <w:footnote w:type="continuationSeparator" w:id="0">
    <w:p w14:paraId="4C287A10" w14:textId="77777777" w:rsidR="00E52302" w:rsidRDefault="00E52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40738"/>
    <w:multiLevelType w:val="hybridMultilevel"/>
    <w:tmpl w:val="0D8AD460"/>
    <w:lvl w:ilvl="0" w:tplc="E6BAF0AC">
      <w:start w:val="1"/>
      <w:numFmt w:val="bullet"/>
      <w:lvlText w:val="●"/>
      <w:lvlJc w:val="left"/>
      <w:pPr>
        <w:ind w:left="720" w:hanging="360"/>
      </w:pPr>
    </w:lvl>
    <w:lvl w:ilvl="1" w:tplc="B1AC9CC0">
      <w:start w:val="1"/>
      <w:numFmt w:val="bullet"/>
      <w:lvlText w:val="○"/>
      <w:lvlJc w:val="left"/>
      <w:pPr>
        <w:ind w:left="1440" w:hanging="360"/>
      </w:pPr>
    </w:lvl>
    <w:lvl w:ilvl="2" w:tplc="142E81C6">
      <w:start w:val="1"/>
      <w:numFmt w:val="bullet"/>
      <w:lvlText w:val="■"/>
      <w:lvlJc w:val="left"/>
      <w:pPr>
        <w:ind w:left="2160" w:hanging="360"/>
      </w:pPr>
    </w:lvl>
    <w:lvl w:ilvl="3" w:tplc="22C8C558">
      <w:start w:val="1"/>
      <w:numFmt w:val="bullet"/>
      <w:lvlText w:val="●"/>
      <w:lvlJc w:val="left"/>
      <w:pPr>
        <w:ind w:left="2880" w:hanging="360"/>
      </w:pPr>
    </w:lvl>
    <w:lvl w:ilvl="4" w:tplc="7318CDC2">
      <w:start w:val="1"/>
      <w:numFmt w:val="bullet"/>
      <w:lvlText w:val="○"/>
      <w:lvlJc w:val="left"/>
      <w:pPr>
        <w:ind w:left="3600" w:hanging="360"/>
      </w:pPr>
    </w:lvl>
    <w:lvl w:ilvl="5" w:tplc="FF3C64C4">
      <w:start w:val="1"/>
      <w:numFmt w:val="bullet"/>
      <w:lvlText w:val="■"/>
      <w:lvlJc w:val="left"/>
      <w:pPr>
        <w:ind w:left="4320" w:hanging="360"/>
      </w:pPr>
    </w:lvl>
    <w:lvl w:ilvl="6" w:tplc="488A3BF0">
      <w:start w:val="1"/>
      <w:numFmt w:val="bullet"/>
      <w:lvlText w:val="●"/>
      <w:lvlJc w:val="left"/>
      <w:pPr>
        <w:ind w:left="5040" w:hanging="360"/>
      </w:pPr>
    </w:lvl>
    <w:lvl w:ilvl="7" w:tplc="CEAC2CE2">
      <w:start w:val="1"/>
      <w:numFmt w:val="bullet"/>
      <w:lvlText w:val="●"/>
      <w:lvlJc w:val="left"/>
      <w:pPr>
        <w:ind w:left="5760" w:hanging="360"/>
      </w:pPr>
    </w:lvl>
    <w:lvl w:ilvl="8" w:tplc="2DF4340C">
      <w:start w:val="1"/>
      <w:numFmt w:val="bullet"/>
      <w:lvlText w:val="●"/>
      <w:lvlJc w:val="left"/>
      <w:pPr>
        <w:ind w:left="6480" w:hanging="360"/>
      </w:pPr>
    </w:lvl>
  </w:abstractNum>
  <w:num w:numId="1" w16cid:durableId="15323024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4B0"/>
    <w:rsid w:val="000E14B0"/>
    <w:rsid w:val="001D3D58"/>
    <w:rsid w:val="002F277A"/>
    <w:rsid w:val="005D673F"/>
    <w:rsid w:val="00E523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EE87"/>
  <w15:docId w15:val="{C5285ECF-CF84-4F1F-A1FD-AF4B348E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5883</Characters>
  <Application>Microsoft Office Word</Application>
  <DocSecurity>0</DocSecurity>
  <Lines>168</Lines>
  <Paragraphs>138</Paragraphs>
  <ScaleCrop>false</ScaleCrop>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hazard toolkit</dc:title>
  <dc:creator>Focus Building Risk &amp; Compliance</dc:creator>
  <cp:lastModifiedBy>Nathan Keating</cp:lastModifiedBy>
  <cp:revision>2</cp:revision>
  <dcterms:created xsi:type="dcterms:W3CDTF">2026-08-24T06:00:00Z</dcterms:created>
  <dcterms:modified xsi:type="dcterms:W3CDTF">2026-08-24T06:00:00Z</dcterms:modified>
</cp:coreProperties>
</file>